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4CEF" w14:textId="4274F716" w:rsidR="00382ECD" w:rsidRPr="00382ECD" w:rsidRDefault="00382ECD" w:rsidP="00382ECD">
      <w:pPr>
        <w:pStyle w:val="BodyText"/>
      </w:pPr>
      <w:r w:rsidRPr="00382ECD">
        <w:t>Community Service/Engagement Draft Quality Assurance Policy</w:t>
      </w:r>
    </w:p>
    <w:p w14:paraId="46273B46" w14:textId="77777777" w:rsidR="00382ECD" w:rsidRPr="00382ECD" w:rsidRDefault="00382ECD" w:rsidP="00382ECD">
      <w:pPr>
        <w:pStyle w:val="BodyText"/>
        <w:rPr>
          <w:sz w:val="20"/>
        </w:rPr>
      </w:pPr>
      <w:r w:rsidRPr="00382ECD">
        <w:rPr>
          <w:noProof/>
        </w:rPr>
        <w:drawing>
          <wp:anchor distT="0" distB="0" distL="0" distR="0" simplePos="0" relativeHeight="251659264" behindDoc="1" locked="0" layoutInCell="1" allowOverlap="1" wp14:anchorId="3A18710B" wp14:editId="56B58BEF">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6" cstate="print"/>
                    <a:stretch>
                      <a:fillRect/>
                    </a:stretch>
                  </pic:blipFill>
                  <pic:spPr>
                    <a:xfrm>
                      <a:off x="0" y="0"/>
                      <a:ext cx="1024945" cy="866775"/>
                    </a:xfrm>
                    <a:prstGeom prst="rect">
                      <a:avLst/>
                    </a:prstGeom>
                  </pic:spPr>
                </pic:pic>
              </a:graphicData>
            </a:graphic>
          </wp:anchor>
        </w:drawing>
      </w:r>
    </w:p>
    <w:p w14:paraId="6A19CD16" w14:textId="77777777" w:rsidR="00382ECD" w:rsidRPr="00382ECD" w:rsidRDefault="00382ECD" w:rsidP="00382ECD">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382ECD" w:rsidRPr="00382ECD" w14:paraId="5E938566" w14:textId="77777777" w:rsidTr="00624F2A">
        <w:trPr>
          <w:trHeight w:val="419"/>
        </w:trPr>
        <w:tc>
          <w:tcPr>
            <w:tcW w:w="3937" w:type="dxa"/>
            <w:tcBorders>
              <w:right w:val="single" w:sz="4" w:space="0" w:color="000000"/>
            </w:tcBorders>
          </w:tcPr>
          <w:p w14:paraId="7ADDAAF7" w14:textId="77777777" w:rsidR="00382ECD" w:rsidRPr="00382ECD" w:rsidRDefault="00382ECD" w:rsidP="00624F2A">
            <w:pPr>
              <w:pStyle w:val="TableParagraph"/>
              <w:spacing w:before="1"/>
              <w:ind w:left="3" w:right="208"/>
              <w:jc w:val="center"/>
              <w:rPr>
                <w:rFonts w:asciiTheme="minorHAnsi" w:hAnsiTheme="minorHAnsi" w:cstheme="minorHAnsi"/>
                <w:b/>
              </w:rPr>
            </w:pPr>
            <w:r w:rsidRPr="00382ECD">
              <w:rPr>
                <w:rFonts w:asciiTheme="minorHAnsi" w:hAnsiTheme="minorHAnsi" w:cstheme="minorHAnsi"/>
                <w:b/>
              </w:rPr>
              <w:t>Responsible</w:t>
            </w:r>
            <w:r w:rsidRPr="00382ECD">
              <w:rPr>
                <w:rFonts w:asciiTheme="minorHAnsi" w:hAnsiTheme="minorHAnsi" w:cstheme="minorHAnsi"/>
                <w:b/>
                <w:spacing w:val="-2"/>
              </w:rPr>
              <w:t xml:space="preserve"> Executive</w:t>
            </w:r>
          </w:p>
        </w:tc>
        <w:tc>
          <w:tcPr>
            <w:tcW w:w="4030" w:type="dxa"/>
            <w:tcBorders>
              <w:left w:val="single" w:sz="4" w:space="0" w:color="000000"/>
            </w:tcBorders>
          </w:tcPr>
          <w:p w14:paraId="24F4CE1A" w14:textId="77777777" w:rsidR="00382ECD" w:rsidRPr="00382ECD" w:rsidRDefault="00382ECD" w:rsidP="00624F2A">
            <w:pPr>
              <w:pStyle w:val="TableParagraph"/>
              <w:spacing w:before="1"/>
              <w:ind w:left="126" w:right="11"/>
              <w:jc w:val="center"/>
              <w:rPr>
                <w:rFonts w:asciiTheme="minorHAnsi" w:hAnsiTheme="minorHAnsi" w:cstheme="minorHAnsi"/>
                <w:b/>
              </w:rPr>
            </w:pPr>
            <w:r w:rsidRPr="00382ECD">
              <w:rPr>
                <w:rFonts w:asciiTheme="minorHAnsi" w:hAnsiTheme="minorHAnsi" w:cstheme="minorHAnsi"/>
                <w:b/>
              </w:rPr>
              <w:t>Vice</w:t>
            </w:r>
            <w:r w:rsidRPr="00382ECD">
              <w:rPr>
                <w:rFonts w:asciiTheme="minorHAnsi" w:hAnsiTheme="minorHAnsi" w:cstheme="minorHAnsi"/>
                <w:b/>
                <w:spacing w:val="-7"/>
              </w:rPr>
              <w:t xml:space="preserve"> </w:t>
            </w:r>
            <w:r w:rsidRPr="00382ECD">
              <w:rPr>
                <w:rFonts w:asciiTheme="minorHAnsi" w:hAnsiTheme="minorHAnsi" w:cstheme="minorHAnsi"/>
                <w:b/>
                <w:spacing w:val="-2"/>
              </w:rPr>
              <w:t>Chancellor</w:t>
            </w:r>
          </w:p>
        </w:tc>
      </w:tr>
      <w:tr w:rsidR="00382ECD" w:rsidRPr="00382ECD" w14:paraId="37A8C30A" w14:textId="77777777" w:rsidTr="00624F2A">
        <w:trPr>
          <w:trHeight w:val="552"/>
        </w:trPr>
        <w:tc>
          <w:tcPr>
            <w:tcW w:w="3937" w:type="dxa"/>
            <w:tcBorders>
              <w:right w:val="single" w:sz="4" w:space="0" w:color="000000"/>
            </w:tcBorders>
          </w:tcPr>
          <w:p w14:paraId="5C717E9B" w14:textId="77777777" w:rsidR="00382ECD" w:rsidRPr="00382ECD" w:rsidRDefault="00382ECD" w:rsidP="00624F2A">
            <w:pPr>
              <w:pStyle w:val="TableParagraph"/>
              <w:spacing w:before="132"/>
              <w:ind w:left="5" w:right="208"/>
              <w:jc w:val="center"/>
              <w:rPr>
                <w:rFonts w:asciiTheme="minorHAnsi" w:hAnsiTheme="minorHAnsi" w:cstheme="minorHAnsi"/>
                <w:b/>
              </w:rPr>
            </w:pPr>
            <w:r w:rsidRPr="00382ECD">
              <w:rPr>
                <w:rFonts w:asciiTheme="minorHAnsi" w:hAnsiTheme="minorHAnsi" w:cstheme="minorHAnsi"/>
                <w:b/>
              </w:rPr>
              <w:t>Responsible</w:t>
            </w:r>
            <w:r w:rsidRPr="00382ECD">
              <w:rPr>
                <w:rFonts w:asciiTheme="minorHAnsi" w:hAnsiTheme="minorHAnsi" w:cstheme="minorHAnsi"/>
                <w:b/>
                <w:spacing w:val="-2"/>
              </w:rPr>
              <w:t xml:space="preserve"> Division</w:t>
            </w:r>
          </w:p>
        </w:tc>
        <w:tc>
          <w:tcPr>
            <w:tcW w:w="4030" w:type="dxa"/>
            <w:tcBorders>
              <w:left w:val="single" w:sz="4" w:space="0" w:color="000000"/>
            </w:tcBorders>
          </w:tcPr>
          <w:p w14:paraId="0912F760" w14:textId="77777777" w:rsidR="00382ECD" w:rsidRPr="00382ECD" w:rsidRDefault="00382ECD" w:rsidP="00624F2A">
            <w:pPr>
              <w:pStyle w:val="TableParagraph"/>
              <w:spacing w:before="132"/>
              <w:ind w:left="126" w:right="3"/>
              <w:jc w:val="center"/>
              <w:rPr>
                <w:rFonts w:asciiTheme="minorHAnsi" w:hAnsiTheme="minorHAnsi" w:cstheme="minorHAnsi"/>
                <w:b/>
              </w:rPr>
            </w:pPr>
            <w:r w:rsidRPr="00382ECD">
              <w:rPr>
                <w:rFonts w:asciiTheme="minorHAnsi" w:hAnsiTheme="minorHAnsi" w:cstheme="minorHAnsi"/>
                <w:b/>
              </w:rPr>
              <w:t>Directorate</w:t>
            </w:r>
            <w:r w:rsidRPr="00382ECD">
              <w:rPr>
                <w:rFonts w:asciiTheme="minorHAnsi" w:hAnsiTheme="minorHAnsi" w:cstheme="minorHAnsi"/>
                <w:b/>
                <w:spacing w:val="-7"/>
              </w:rPr>
              <w:t xml:space="preserve"> </w:t>
            </w:r>
            <w:r w:rsidRPr="00382ECD">
              <w:rPr>
                <w:rFonts w:asciiTheme="minorHAnsi" w:hAnsiTheme="minorHAnsi" w:cstheme="minorHAnsi"/>
                <w:b/>
              </w:rPr>
              <w:t>of</w:t>
            </w:r>
            <w:r w:rsidRPr="00382ECD">
              <w:rPr>
                <w:rFonts w:asciiTheme="minorHAnsi" w:hAnsiTheme="minorHAnsi" w:cstheme="minorHAnsi"/>
                <w:b/>
                <w:spacing w:val="-1"/>
              </w:rPr>
              <w:t xml:space="preserve"> </w:t>
            </w:r>
            <w:r w:rsidRPr="00382ECD">
              <w:rPr>
                <w:rFonts w:asciiTheme="minorHAnsi" w:hAnsiTheme="minorHAnsi" w:cstheme="minorHAnsi"/>
                <w:b/>
              </w:rPr>
              <w:t>Quality</w:t>
            </w:r>
            <w:r w:rsidRPr="00382ECD">
              <w:rPr>
                <w:rFonts w:asciiTheme="minorHAnsi" w:hAnsiTheme="minorHAnsi" w:cstheme="minorHAnsi"/>
                <w:b/>
                <w:spacing w:val="-4"/>
              </w:rPr>
              <w:t xml:space="preserve"> </w:t>
            </w:r>
            <w:r w:rsidRPr="00382ECD">
              <w:rPr>
                <w:rFonts w:asciiTheme="minorHAnsi" w:hAnsiTheme="minorHAnsi" w:cstheme="minorHAnsi"/>
                <w:b/>
                <w:spacing w:val="-2"/>
              </w:rPr>
              <w:t>Assurance</w:t>
            </w:r>
          </w:p>
        </w:tc>
      </w:tr>
      <w:tr w:rsidR="00382ECD" w:rsidRPr="00382ECD" w14:paraId="1F45CBA2" w14:textId="77777777" w:rsidTr="00624F2A">
        <w:trPr>
          <w:trHeight w:val="552"/>
        </w:trPr>
        <w:tc>
          <w:tcPr>
            <w:tcW w:w="3937" w:type="dxa"/>
            <w:tcBorders>
              <w:right w:val="single" w:sz="4" w:space="0" w:color="000000"/>
            </w:tcBorders>
          </w:tcPr>
          <w:p w14:paraId="604F3411" w14:textId="77777777" w:rsidR="00382ECD" w:rsidRPr="00382ECD" w:rsidRDefault="00382ECD" w:rsidP="00624F2A">
            <w:pPr>
              <w:pStyle w:val="TableParagraph"/>
              <w:spacing w:before="134"/>
              <w:ind w:left="9" w:right="208"/>
              <w:jc w:val="center"/>
              <w:rPr>
                <w:rFonts w:asciiTheme="minorHAnsi" w:hAnsiTheme="minorHAnsi" w:cstheme="minorHAnsi"/>
                <w:b/>
              </w:rPr>
            </w:pPr>
            <w:r w:rsidRPr="00382ECD">
              <w:rPr>
                <w:rFonts w:asciiTheme="minorHAnsi" w:hAnsiTheme="minorHAnsi" w:cstheme="minorHAnsi"/>
                <w:b/>
              </w:rPr>
              <w:t xml:space="preserve">Approved </w:t>
            </w:r>
            <w:r w:rsidRPr="00382ECD">
              <w:rPr>
                <w:rFonts w:asciiTheme="minorHAnsi" w:hAnsiTheme="minorHAnsi" w:cstheme="minorHAnsi"/>
                <w:b/>
                <w:spacing w:val="-5"/>
              </w:rPr>
              <w:t>By</w:t>
            </w:r>
          </w:p>
        </w:tc>
        <w:tc>
          <w:tcPr>
            <w:tcW w:w="4030" w:type="dxa"/>
            <w:tcBorders>
              <w:left w:val="single" w:sz="4" w:space="0" w:color="000000"/>
            </w:tcBorders>
          </w:tcPr>
          <w:p w14:paraId="598D5D6C" w14:textId="533FEFBA" w:rsidR="00382ECD" w:rsidRPr="00382ECD" w:rsidRDefault="00382ECD" w:rsidP="00624F2A">
            <w:pPr>
              <w:pStyle w:val="TableParagraph"/>
              <w:spacing w:before="134"/>
              <w:ind w:left="126"/>
              <w:jc w:val="center"/>
              <w:rPr>
                <w:rFonts w:asciiTheme="minorHAnsi" w:hAnsiTheme="minorHAnsi" w:cstheme="minorHAnsi"/>
                <w:b/>
              </w:rPr>
            </w:pPr>
          </w:p>
        </w:tc>
      </w:tr>
      <w:tr w:rsidR="00382ECD" w:rsidRPr="00382ECD" w14:paraId="6CAF3C88" w14:textId="77777777" w:rsidTr="00624F2A">
        <w:trPr>
          <w:trHeight w:val="550"/>
        </w:trPr>
        <w:tc>
          <w:tcPr>
            <w:tcW w:w="3937" w:type="dxa"/>
            <w:tcBorders>
              <w:right w:val="single" w:sz="4" w:space="0" w:color="000000"/>
            </w:tcBorders>
          </w:tcPr>
          <w:p w14:paraId="53A1BFB2" w14:textId="77777777" w:rsidR="00382ECD" w:rsidRPr="00382ECD" w:rsidRDefault="00382ECD" w:rsidP="00624F2A">
            <w:pPr>
              <w:pStyle w:val="TableParagraph"/>
              <w:spacing w:before="132"/>
              <w:ind w:left="7" w:right="208"/>
              <w:jc w:val="center"/>
              <w:rPr>
                <w:rFonts w:asciiTheme="minorHAnsi" w:hAnsiTheme="minorHAnsi" w:cstheme="minorHAnsi"/>
                <w:b/>
              </w:rPr>
            </w:pPr>
            <w:r w:rsidRPr="00382ECD">
              <w:rPr>
                <w:rFonts w:asciiTheme="minorHAnsi" w:hAnsiTheme="minorHAnsi" w:cstheme="minorHAnsi"/>
                <w:b/>
              </w:rPr>
              <w:t>Date</w:t>
            </w:r>
            <w:r w:rsidRPr="00382ECD">
              <w:rPr>
                <w:rFonts w:asciiTheme="minorHAnsi" w:hAnsiTheme="minorHAnsi" w:cstheme="minorHAnsi"/>
                <w:b/>
                <w:spacing w:val="-1"/>
              </w:rPr>
              <w:t xml:space="preserve"> </w:t>
            </w:r>
            <w:r w:rsidRPr="00382ECD">
              <w:rPr>
                <w:rFonts w:asciiTheme="minorHAnsi" w:hAnsiTheme="minorHAnsi" w:cstheme="minorHAnsi"/>
                <w:b/>
                <w:spacing w:val="-2"/>
              </w:rPr>
              <w:t>Approved</w:t>
            </w:r>
          </w:p>
        </w:tc>
        <w:tc>
          <w:tcPr>
            <w:tcW w:w="4030" w:type="dxa"/>
            <w:tcBorders>
              <w:left w:val="single" w:sz="4" w:space="0" w:color="000000"/>
            </w:tcBorders>
          </w:tcPr>
          <w:p w14:paraId="7F43F231" w14:textId="77777777" w:rsidR="00382ECD" w:rsidRPr="00382ECD" w:rsidRDefault="00382ECD" w:rsidP="00624F2A">
            <w:pPr>
              <w:pStyle w:val="TableParagraph"/>
              <w:rPr>
                <w:rFonts w:asciiTheme="minorHAnsi" w:hAnsiTheme="minorHAnsi" w:cstheme="minorHAnsi"/>
              </w:rPr>
            </w:pPr>
          </w:p>
        </w:tc>
      </w:tr>
      <w:tr w:rsidR="00382ECD" w:rsidRPr="00382ECD" w14:paraId="3FCA2278" w14:textId="77777777" w:rsidTr="00624F2A">
        <w:trPr>
          <w:trHeight w:val="552"/>
        </w:trPr>
        <w:tc>
          <w:tcPr>
            <w:tcW w:w="3937" w:type="dxa"/>
            <w:tcBorders>
              <w:right w:val="single" w:sz="4" w:space="0" w:color="000000"/>
            </w:tcBorders>
          </w:tcPr>
          <w:p w14:paraId="19B21BA1" w14:textId="77777777" w:rsidR="00382ECD" w:rsidRPr="00382ECD" w:rsidRDefault="00382ECD" w:rsidP="00624F2A">
            <w:pPr>
              <w:pStyle w:val="TableParagraph"/>
              <w:spacing w:before="132"/>
              <w:ind w:right="208"/>
              <w:jc w:val="center"/>
              <w:rPr>
                <w:rFonts w:asciiTheme="minorHAnsi" w:hAnsiTheme="minorHAnsi" w:cstheme="minorHAnsi"/>
                <w:b/>
              </w:rPr>
            </w:pPr>
            <w:r w:rsidRPr="00382ECD">
              <w:rPr>
                <w:rFonts w:asciiTheme="minorHAnsi" w:hAnsiTheme="minorHAnsi" w:cstheme="minorHAnsi"/>
                <w:b/>
              </w:rPr>
              <w:t>Review</w:t>
            </w:r>
            <w:r w:rsidRPr="00382ECD">
              <w:rPr>
                <w:rFonts w:asciiTheme="minorHAnsi" w:hAnsiTheme="minorHAnsi" w:cstheme="minorHAnsi"/>
                <w:b/>
                <w:spacing w:val="-11"/>
              </w:rPr>
              <w:t xml:space="preserve"> </w:t>
            </w:r>
            <w:r w:rsidRPr="00382ECD">
              <w:rPr>
                <w:rFonts w:asciiTheme="minorHAnsi" w:hAnsiTheme="minorHAnsi" w:cstheme="minorHAnsi"/>
                <w:b/>
                <w:spacing w:val="-4"/>
              </w:rPr>
              <w:t>Date</w:t>
            </w:r>
          </w:p>
        </w:tc>
        <w:tc>
          <w:tcPr>
            <w:tcW w:w="4030" w:type="dxa"/>
            <w:tcBorders>
              <w:left w:val="single" w:sz="4" w:space="0" w:color="000000"/>
            </w:tcBorders>
          </w:tcPr>
          <w:p w14:paraId="60DAAA75" w14:textId="77777777" w:rsidR="00382ECD" w:rsidRPr="00382ECD" w:rsidRDefault="00382ECD" w:rsidP="00624F2A">
            <w:pPr>
              <w:pStyle w:val="TableParagraph"/>
              <w:spacing w:before="132"/>
              <w:ind w:left="126" w:right="5"/>
              <w:jc w:val="center"/>
              <w:rPr>
                <w:rFonts w:asciiTheme="minorHAnsi" w:hAnsiTheme="minorHAnsi" w:cstheme="minorHAnsi"/>
                <w:b/>
              </w:rPr>
            </w:pPr>
            <w:r w:rsidRPr="00027913">
              <w:rPr>
                <w:rFonts w:asciiTheme="minorHAnsi" w:hAnsiTheme="minorHAnsi" w:cstheme="minorHAnsi"/>
                <w:b/>
              </w:rPr>
              <w:t>After</w:t>
            </w:r>
            <w:r w:rsidRPr="00027913">
              <w:rPr>
                <w:rFonts w:asciiTheme="minorHAnsi" w:hAnsiTheme="minorHAnsi" w:cstheme="minorHAnsi"/>
                <w:b/>
                <w:spacing w:val="-4"/>
              </w:rPr>
              <w:t xml:space="preserve"> </w:t>
            </w:r>
            <w:r w:rsidRPr="00027913">
              <w:rPr>
                <w:rFonts w:asciiTheme="minorHAnsi" w:hAnsiTheme="minorHAnsi" w:cstheme="minorHAnsi"/>
                <w:b/>
              </w:rPr>
              <w:t>every</w:t>
            </w:r>
            <w:r w:rsidRPr="00027913">
              <w:rPr>
                <w:rFonts w:asciiTheme="minorHAnsi" w:hAnsiTheme="minorHAnsi" w:cstheme="minorHAnsi"/>
                <w:b/>
                <w:spacing w:val="-1"/>
              </w:rPr>
              <w:t xml:space="preserve"> </w:t>
            </w:r>
            <w:r w:rsidRPr="00027913">
              <w:rPr>
                <w:rFonts w:asciiTheme="minorHAnsi" w:hAnsiTheme="minorHAnsi" w:cstheme="minorHAnsi"/>
                <w:b/>
              </w:rPr>
              <w:t>four</w:t>
            </w:r>
            <w:r w:rsidRPr="00027913">
              <w:rPr>
                <w:rFonts w:asciiTheme="minorHAnsi" w:hAnsiTheme="minorHAnsi" w:cstheme="minorHAnsi"/>
                <w:b/>
                <w:spacing w:val="-4"/>
              </w:rPr>
              <w:t xml:space="preserve"> </w:t>
            </w:r>
            <w:r w:rsidRPr="00027913">
              <w:rPr>
                <w:rFonts w:asciiTheme="minorHAnsi" w:hAnsiTheme="minorHAnsi" w:cstheme="minorHAnsi"/>
                <w:b/>
              </w:rPr>
              <w:t>(4)</w:t>
            </w:r>
            <w:r w:rsidRPr="00027913">
              <w:rPr>
                <w:rFonts w:asciiTheme="minorHAnsi" w:hAnsiTheme="minorHAnsi" w:cstheme="minorHAnsi"/>
                <w:b/>
                <w:spacing w:val="-1"/>
              </w:rPr>
              <w:t xml:space="preserve"> </w:t>
            </w:r>
            <w:r w:rsidRPr="00027913">
              <w:rPr>
                <w:rFonts w:asciiTheme="minorHAnsi" w:hAnsiTheme="minorHAnsi" w:cstheme="minorHAnsi"/>
                <w:b/>
                <w:spacing w:val="-4"/>
              </w:rPr>
              <w:t>years</w:t>
            </w:r>
          </w:p>
        </w:tc>
      </w:tr>
      <w:tr w:rsidR="00382ECD" w:rsidRPr="00382ECD" w14:paraId="5A465A51" w14:textId="77777777" w:rsidTr="00624F2A">
        <w:trPr>
          <w:trHeight w:val="2894"/>
        </w:trPr>
        <w:tc>
          <w:tcPr>
            <w:tcW w:w="3937" w:type="dxa"/>
            <w:tcBorders>
              <w:right w:val="single" w:sz="4" w:space="0" w:color="000000"/>
            </w:tcBorders>
          </w:tcPr>
          <w:p w14:paraId="489938E0" w14:textId="77777777" w:rsidR="00382ECD" w:rsidRPr="00382ECD" w:rsidRDefault="00382ECD" w:rsidP="00624F2A">
            <w:pPr>
              <w:pStyle w:val="TableParagraph"/>
              <w:spacing w:before="134"/>
              <w:ind w:right="208"/>
              <w:jc w:val="center"/>
              <w:rPr>
                <w:rFonts w:asciiTheme="minorHAnsi" w:hAnsiTheme="minorHAnsi" w:cstheme="minorHAnsi"/>
                <w:b/>
              </w:rPr>
            </w:pPr>
            <w:r w:rsidRPr="00382ECD">
              <w:rPr>
                <w:rFonts w:asciiTheme="minorHAnsi" w:hAnsiTheme="minorHAnsi" w:cstheme="minorHAnsi"/>
                <w:b/>
              </w:rPr>
              <w:t>Stakeholders</w:t>
            </w:r>
            <w:r w:rsidRPr="00382ECD">
              <w:rPr>
                <w:rFonts w:asciiTheme="minorHAnsi" w:hAnsiTheme="minorHAnsi" w:cstheme="minorHAnsi"/>
                <w:b/>
                <w:spacing w:val="-2"/>
              </w:rPr>
              <w:t xml:space="preserve"> </w:t>
            </w:r>
            <w:r w:rsidRPr="00382ECD">
              <w:rPr>
                <w:rFonts w:asciiTheme="minorHAnsi" w:hAnsiTheme="minorHAnsi" w:cstheme="minorHAnsi"/>
                <w:b/>
              </w:rPr>
              <w:t>affected</w:t>
            </w:r>
            <w:r w:rsidRPr="00382ECD">
              <w:rPr>
                <w:rFonts w:asciiTheme="minorHAnsi" w:hAnsiTheme="minorHAnsi" w:cstheme="minorHAnsi"/>
                <w:b/>
                <w:spacing w:val="-2"/>
              </w:rPr>
              <w:t xml:space="preserve"> </w:t>
            </w:r>
            <w:r w:rsidRPr="00382ECD">
              <w:rPr>
                <w:rFonts w:asciiTheme="minorHAnsi" w:hAnsiTheme="minorHAnsi" w:cstheme="minorHAnsi"/>
                <w:b/>
              </w:rPr>
              <w:t>by</w:t>
            </w:r>
            <w:r w:rsidRPr="00382ECD">
              <w:rPr>
                <w:rFonts w:asciiTheme="minorHAnsi" w:hAnsiTheme="minorHAnsi" w:cstheme="minorHAnsi"/>
                <w:b/>
                <w:spacing w:val="-2"/>
              </w:rPr>
              <w:t xml:space="preserve"> </w:t>
            </w:r>
            <w:r w:rsidRPr="00382ECD">
              <w:rPr>
                <w:rFonts w:asciiTheme="minorHAnsi" w:hAnsiTheme="minorHAnsi" w:cstheme="minorHAnsi"/>
                <w:b/>
              </w:rPr>
              <w:t>this</w:t>
            </w:r>
            <w:r w:rsidRPr="00382ECD">
              <w:rPr>
                <w:rFonts w:asciiTheme="minorHAnsi" w:hAnsiTheme="minorHAnsi" w:cstheme="minorHAnsi"/>
                <w:b/>
                <w:spacing w:val="-1"/>
              </w:rPr>
              <w:t xml:space="preserve"> </w:t>
            </w:r>
            <w:r w:rsidRPr="00382ECD">
              <w:rPr>
                <w:rFonts w:asciiTheme="minorHAnsi" w:hAnsiTheme="minorHAnsi" w:cstheme="minorHAnsi"/>
                <w:b/>
                <w:spacing w:val="-2"/>
              </w:rPr>
              <w:t>policy</w:t>
            </w:r>
          </w:p>
        </w:tc>
        <w:tc>
          <w:tcPr>
            <w:tcW w:w="4030" w:type="dxa"/>
            <w:tcBorders>
              <w:left w:val="single" w:sz="4" w:space="0" w:color="000000"/>
            </w:tcBorders>
          </w:tcPr>
          <w:p w14:paraId="3927B6B4" w14:textId="77777777" w:rsidR="00382ECD" w:rsidRPr="00382ECD" w:rsidRDefault="00382ECD" w:rsidP="00624F2A">
            <w:pPr>
              <w:pStyle w:val="TableParagraph"/>
              <w:spacing w:before="134" w:line="480" w:lineRule="auto"/>
              <w:ind w:left="169" w:right="48" w:firstLine="4"/>
              <w:jc w:val="center"/>
              <w:rPr>
                <w:rFonts w:asciiTheme="minorHAnsi" w:hAnsiTheme="minorHAnsi" w:cstheme="minorHAnsi"/>
                <w:b/>
              </w:rPr>
            </w:pPr>
            <w:r w:rsidRPr="00382ECD">
              <w:rPr>
                <w:rFonts w:asciiTheme="minorHAnsi" w:hAnsiTheme="minorHAnsi" w:cstheme="minorHAnsi"/>
                <w:b/>
              </w:rPr>
              <w:t>All</w:t>
            </w:r>
            <w:r w:rsidRPr="00382ECD">
              <w:rPr>
                <w:rFonts w:asciiTheme="minorHAnsi" w:hAnsiTheme="minorHAnsi" w:cstheme="minorHAnsi"/>
                <w:b/>
                <w:spacing w:val="-6"/>
              </w:rPr>
              <w:t xml:space="preserve"> </w:t>
            </w:r>
            <w:r w:rsidRPr="00382ECD">
              <w:rPr>
                <w:rFonts w:asciiTheme="minorHAnsi" w:hAnsiTheme="minorHAnsi" w:cstheme="minorHAnsi"/>
                <w:b/>
              </w:rPr>
              <w:t>categories</w:t>
            </w:r>
            <w:r w:rsidRPr="00382ECD">
              <w:rPr>
                <w:rFonts w:asciiTheme="minorHAnsi" w:hAnsiTheme="minorHAnsi" w:cstheme="minorHAnsi"/>
                <w:b/>
                <w:spacing w:val="-4"/>
              </w:rPr>
              <w:t xml:space="preserve"> </w:t>
            </w:r>
            <w:r w:rsidRPr="00382ECD">
              <w:rPr>
                <w:rFonts w:asciiTheme="minorHAnsi" w:hAnsiTheme="minorHAnsi" w:cstheme="minorHAnsi"/>
                <w:b/>
              </w:rPr>
              <w:t>of</w:t>
            </w:r>
            <w:r w:rsidRPr="00382ECD">
              <w:rPr>
                <w:rFonts w:asciiTheme="minorHAnsi" w:hAnsiTheme="minorHAnsi" w:cstheme="minorHAnsi"/>
                <w:b/>
                <w:spacing w:val="-4"/>
              </w:rPr>
              <w:t xml:space="preserve"> </w:t>
            </w:r>
            <w:r w:rsidRPr="00382ECD">
              <w:rPr>
                <w:rFonts w:asciiTheme="minorHAnsi" w:hAnsiTheme="minorHAnsi" w:cstheme="minorHAnsi"/>
                <w:b/>
              </w:rPr>
              <w:t>staff</w:t>
            </w:r>
            <w:r w:rsidRPr="00382ECD">
              <w:rPr>
                <w:rFonts w:asciiTheme="minorHAnsi" w:hAnsiTheme="minorHAnsi" w:cstheme="minorHAnsi"/>
                <w:b/>
                <w:spacing w:val="-5"/>
              </w:rPr>
              <w:t xml:space="preserve"> </w:t>
            </w:r>
            <w:r w:rsidRPr="00382ECD">
              <w:rPr>
                <w:rFonts w:asciiTheme="minorHAnsi" w:hAnsiTheme="minorHAnsi" w:cstheme="minorHAnsi"/>
                <w:b/>
              </w:rPr>
              <w:t>and</w:t>
            </w:r>
            <w:r w:rsidRPr="00382ECD">
              <w:rPr>
                <w:rFonts w:asciiTheme="minorHAnsi" w:hAnsiTheme="minorHAnsi" w:cstheme="minorHAnsi"/>
                <w:b/>
                <w:spacing w:val="-4"/>
              </w:rPr>
              <w:t xml:space="preserve"> </w:t>
            </w:r>
            <w:r w:rsidRPr="00382ECD">
              <w:rPr>
                <w:rFonts w:asciiTheme="minorHAnsi" w:hAnsiTheme="minorHAnsi" w:cstheme="minorHAnsi"/>
                <w:b/>
              </w:rPr>
              <w:t>students</w:t>
            </w:r>
            <w:r w:rsidRPr="00382ECD">
              <w:rPr>
                <w:rFonts w:asciiTheme="minorHAnsi" w:hAnsiTheme="minorHAnsi" w:cstheme="minorHAnsi"/>
                <w:b/>
                <w:spacing w:val="-4"/>
              </w:rPr>
              <w:t xml:space="preserve"> </w:t>
            </w:r>
            <w:r w:rsidRPr="00382ECD">
              <w:rPr>
                <w:rFonts w:asciiTheme="minorHAnsi" w:hAnsiTheme="minorHAnsi" w:cstheme="minorHAnsi"/>
                <w:b/>
              </w:rPr>
              <w:t>of University of Nigeria Nsukka as well as</w:t>
            </w:r>
            <w:r w:rsidRPr="00382ECD">
              <w:rPr>
                <w:rFonts w:asciiTheme="minorHAnsi" w:hAnsiTheme="minorHAnsi" w:cstheme="minorHAnsi"/>
                <w:b/>
                <w:spacing w:val="-8"/>
              </w:rPr>
              <w:t xml:space="preserve"> </w:t>
            </w:r>
            <w:r w:rsidRPr="00382ECD">
              <w:rPr>
                <w:rFonts w:asciiTheme="minorHAnsi" w:hAnsiTheme="minorHAnsi" w:cstheme="minorHAnsi"/>
                <w:b/>
              </w:rPr>
              <w:t>their</w:t>
            </w:r>
            <w:r w:rsidRPr="00382ECD">
              <w:rPr>
                <w:rFonts w:asciiTheme="minorHAnsi" w:hAnsiTheme="minorHAnsi" w:cstheme="minorHAnsi"/>
                <w:b/>
                <w:spacing w:val="-10"/>
              </w:rPr>
              <w:t xml:space="preserve"> </w:t>
            </w:r>
            <w:r w:rsidRPr="00382ECD">
              <w:rPr>
                <w:rFonts w:asciiTheme="minorHAnsi" w:hAnsiTheme="minorHAnsi" w:cstheme="minorHAnsi"/>
                <w:b/>
              </w:rPr>
              <w:t>partners</w:t>
            </w:r>
            <w:r w:rsidRPr="00382ECD">
              <w:rPr>
                <w:rFonts w:asciiTheme="minorHAnsi" w:hAnsiTheme="minorHAnsi" w:cstheme="minorHAnsi"/>
                <w:b/>
                <w:spacing w:val="-7"/>
              </w:rPr>
              <w:t xml:space="preserve"> </w:t>
            </w:r>
            <w:r w:rsidRPr="00382ECD">
              <w:rPr>
                <w:rFonts w:asciiTheme="minorHAnsi" w:hAnsiTheme="minorHAnsi" w:cstheme="minorHAnsi"/>
                <w:b/>
              </w:rPr>
              <w:t>(JAMB,</w:t>
            </w:r>
            <w:r w:rsidRPr="00382ECD">
              <w:rPr>
                <w:rFonts w:asciiTheme="minorHAnsi" w:hAnsiTheme="minorHAnsi" w:cstheme="minorHAnsi"/>
                <w:b/>
                <w:spacing w:val="-9"/>
              </w:rPr>
              <w:t xml:space="preserve"> </w:t>
            </w:r>
            <w:r w:rsidRPr="00382ECD">
              <w:rPr>
                <w:rFonts w:asciiTheme="minorHAnsi" w:hAnsiTheme="minorHAnsi" w:cstheme="minorHAnsi"/>
                <w:b/>
              </w:rPr>
              <w:t>ALUMINI, FGN and local and International</w:t>
            </w:r>
          </w:p>
          <w:p w14:paraId="4398DC40" w14:textId="77777777" w:rsidR="00382ECD" w:rsidRPr="00382ECD" w:rsidRDefault="00382ECD" w:rsidP="00624F2A">
            <w:pPr>
              <w:pStyle w:val="TableParagraph"/>
              <w:spacing w:line="274" w:lineRule="exact"/>
              <w:ind w:left="126" w:right="6"/>
              <w:jc w:val="center"/>
              <w:rPr>
                <w:rFonts w:asciiTheme="minorHAnsi" w:hAnsiTheme="minorHAnsi" w:cstheme="minorHAnsi"/>
                <w:b/>
              </w:rPr>
            </w:pPr>
            <w:r w:rsidRPr="00382ECD">
              <w:rPr>
                <w:rFonts w:asciiTheme="minorHAnsi" w:hAnsiTheme="minorHAnsi" w:cstheme="minorHAnsi"/>
                <w:b/>
                <w:spacing w:val="-2"/>
              </w:rPr>
              <w:t>collaborators)</w:t>
            </w:r>
          </w:p>
        </w:tc>
      </w:tr>
    </w:tbl>
    <w:p w14:paraId="5803B1D0" w14:textId="77777777" w:rsidR="00382ECD" w:rsidRPr="00382ECD" w:rsidRDefault="00382ECD" w:rsidP="00382ECD">
      <w:pPr>
        <w:rPr>
          <w:rFonts w:cstheme="minorHAnsi"/>
        </w:rPr>
      </w:pPr>
    </w:p>
    <w:p w14:paraId="20C950FB" w14:textId="77777777" w:rsidR="00382ECD" w:rsidRPr="00382ECD" w:rsidRDefault="00382ECD" w:rsidP="00382ECD">
      <w:pPr>
        <w:rPr>
          <w:rFonts w:cstheme="minorHAnsi"/>
        </w:rPr>
      </w:pPr>
    </w:p>
    <w:p w14:paraId="66346D8C" w14:textId="77777777" w:rsidR="00382ECD" w:rsidRPr="00382ECD" w:rsidRDefault="00382ECD" w:rsidP="00382ECD">
      <w:pPr>
        <w:rPr>
          <w:rFonts w:cstheme="minorHAnsi"/>
        </w:rPr>
      </w:pPr>
    </w:p>
    <w:p w14:paraId="045B6ED4" w14:textId="77777777" w:rsidR="00382ECD" w:rsidRPr="00382ECD" w:rsidRDefault="00382ECD" w:rsidP="00382ECD">
      <w:pPr>
        <w:rPr>
          <w:rFonts w:cstheme="minorHAnsi"/>
        </w:rPr>
      </w:pPr>
    </w:p>
    <w:p w14:paraId="42B75BC2" w14:textId="77777777" w:rsidR="00382ECD" w:rsidRPr="00382ECD" w:rsidRDefault="00382ECD" w:rsidP="00382ECD">
      <w:pPr>
        <w:rPr>
          <w:rFonts w:cstheme="minorHAnsi"/>
        </w:rPr>
      </w:pPr>
    </w:p>
    <w:p w14:paraId="0F4809C8" w14:textId="77777777" w:rsidR="00382ECD" w:rsidRPr="00382ECD" w:rsidRDefault="00382ECD" w:rsidP="00382ECD">
      <w:pPr>
        <w:rPr>
          <w:rFonts w:cstheme="minorHAnsi"/>
        </w:rPr>
      </w:pPr>
    </w:p>
    <w:p w14:paraId="59ABEB23" w14:textId="77777777" w:rsidR="00382ECD" w:rsidRPr="00382ECD" w:rsidRDefault="00382ECD" w:rsidP="00382ECD">
      <w:pPr>
        <w:rPr>
          <w:rFonts w:cstheme="minorHAnsi"/>
        </w:rPr>
      </w:pPr>
    </w:p>
    <w:p w14:paraId="3368815F" w14:textId="77777777" w:rsidR="00382ECD" w:rsidRPr="00382ECD" w:rsidRDefault="00382ECD" w:rsidP="00382ECD">
      <w:pPr>
        <w:rPr>
          <w:rFonts w:cstheme="minorHAnsi"/>
        </w:rPr>
      </w:pPr>
    </w:p>
    <w:p w14:paraId="4B37E351" w14:textId="1C37D9CA" w:rsidR="00382ECD" w:rsidRPr="00382ECD" w:rsidRDefault="00382ECD" w:rsidP="00382ECD">
      <w:pPr>
        <w:rPr>
          <w:rFonts w:cstheme="minorHAnsi"/>
        </w:rPr>
      </w:pPr>
    </w:p>
    <w:sdt>
      <w:sdtPr>
        <w:rPr>
          <w:rFonts w:asciiTheme="minorHAnsi" w:eastAsiaTheme="minorHAnsi" w:hAnsiTheme="minorHAnsi" w:cstheme="minorBidi"/>
          <w:color w:val="auto"/>
          <w:sz w:val="22"/>
          <w:szCs w:val="22"/>
        </w:rPr>
        <w:id w:val="-529883046"/>
        <w:docPartObj>
          <w:docPartGallery w:val="Table of Contents"/>
          <w:docPartUnique/>
        </w:docPartObj>
      </w:sdtPr>
      <w:sdtEndPr>
        <w:rPr>
          <w:b/>
          <w:bCs/>
          <w:noProof/>
        </w:rPr>
      </w:sdtEndPr>
      <w:sdtContent>
        <w:p w14:paraId="776AF0F4" w14:textId="71C871F5" w:rsidR="00382ECD" w:rsidRDefault="00382ECD">
          <w:pPr>
            <w:pStyle w:val="TOCHeading"/>
          </w:pPr>
          <w:r>
            <w:t>Table of Contents</w:t>
          </w:r>
        </w:p>
        <w:p w14:paraId="315D7E63" w14:textId="5F841FD7" w:rsidR="008D1975" w:rsidRDefault="00382EC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0961712" w:history="1">
            <w:r w:rsidR="008D1975" w:rsidRPr="00AE2F9D">
              <w:rPr>
                <w:rStyle w:val="Hyperlink"/>
                <w:rFonts w:eastAsia="Times New Roman"/>
                <w:noProof/>
              </w:rPr>
              <w:t>1. Introduction</w:t>
            </w:r>
            <w:r w:rsidR="008D1975">
              <w:rPr>
                <w:noProof/>
                <w:webHidden/>
              </w:rPr>
              <w:tab/>
            </w:r>
            <w:r w:rsidR="008D1975">
              <w:rPr>
                <w:noProof/>
                <w:webHidden/>
              </w:rPr>
              <w:fldChar w:fldCharType="begin"/>
            </w:r>
            <w:r w:rsidR="008D1975">
              <w:rPr>
                <w:noProof/>
                <w:webHidden/>
              </w:rPr>
              <w:instrText xml:space="preserve"> PAGEREF _Toc180961712 \h </w:instrText>
            </w:r>
            <w:r w:rsidR="008D1975">
              <w:rPr>
                <w:noProof/>
                <w:webHidden/>
              </w:rPr>
            </w:r>
            <w:r w:rsidR="008D1975">
              <w:rPr>
                <w:noProof/>
                <w:webHidden/>
              </w:rPr>
              <w:fldChar w:fldCharType="separate"/>
            </w:r>
            <w:r w:rsidR="008D1975">
              <w:rPr>
                <w:noProof/>
                <w:webHidden/>
              </w:rPr>
              <w:t>2</w:t>
            </w:r>
            <w:r w:rsidR="008D1975">
              <w:rPr>
                <w:noProof/>
                <w:webHidden/>
              </w:rPr>
              <w:fldChar w:fldCharType="end"/>
            </w:r>
          </w:hyperlink>
        </w:p>
        <w:p w14:paraId="6AC66C10" w14:textId="3FC03544" w:rsidR="008D1975" w:rsidRDefault="00000000">
          <w:pPr>
            <w:pStyle w:val="TOC1"/>
            <w:tabs>
              <w:tab w:val="right" w:leader="dot" w:pos="9350"/>
            </w:tabs>
            <w:rPr>
              <w:rFonts w:eastAsiaTheme="minorEastAsia"/>
              <w:noProof/>
            </w:rPr>
          </w:pPr>
          <w:hyperlink w:anchor="_Toc180961713" w:history="1">
            <w:r w:rsidR="008D1975" w:rsidRPr="00AE2F9D">
              <w:rPr>
                <w:rStyle w:val="Hyperlink"/>
                <w:rFonts w:eastAsia="Times New Roman"/>
                <w:noProof/>
              </w:rPr>
              <w:t>2. Objectives</w:t>
            </w:r>
            <w:r w:rsidR="008D1975">
              <w:rPr>
                <w:noProof/>
                <w:webHidden/>
              </w:rPr>
              <w:tab/>
            </w:r>
            <w:r w:rsidR="008D1975">
              <w:rPr>
                <w:noProof/>
                <w:webHidden/>
              </w:rPr>
              <w:fldChar w:fldCharType="begin"/>
            </w:r>
            <w:r w:rsidR="008D1975">
              <w:rPr>
                <w:noProof/>
                <w:webHidden/>
              </w:rPr>
              <w:instrText xml:space="preserve"> PAGEREF _Toc180961713 \h </w:instrText>
            </w:r>
            <w:r w:rsidR="008D1975">
              <w:rPr>
                <w:noProof/>
                <w:webHidden/>
              </w:rPr>
            </w:r>
            <w:r w:rsidR="008D1975">
              <w:rPr>
                <w:noProof/>
                <w:webHidden/>
              </w:rPr>
              <w:fldChar w:fldCharType="separate"/>
            </w:r>
            <w:r w:rsidR="008D1975">
              <w:rPr>
                <w:noProof/>
                <w:webHidden/>
              </w:rPr>
              <w:t>3</w:t>
            </w:r>
            <w:r w:rsidR="008D1975">
              <w:rPr>
                <w:noProof/>
                <w:webHidden/>
              </w:rPr>
              <w:fldChar w:fldCharType="end"/>
            </w:r>
          </w:hyperlink>
        </w:p>
        <w:p w14:paraId="592C8252" w14:textId="65CD7546" w:rsidR="008D1975" w:rsidRDefault="00000000">
          <w:pPr>
            <w:pStyle w:val="TOC1"/>
            <w:tabs>
              <w:tab w:val="right" w:leader="dot" w:pos="9350"/>
            </w:tabs>
            <w:rPr>
              <w:rFonts w:eastAsiaTheme="minorEastAsia"/>
              <w:noProof/>
            </w:rPr>
          </w:pPr>
          <w:hyperlink w:anchor="_Toc180961714" w:history="1">
            <w:r w:rsidR="008D1975" w:rsidRPr="00AE2F9D">
              <w:rPr>
                <w:rStyle w:val="Hyperlink"/>
                <w:rFonts w:eastAsia="Times New Roman"/>
                <w:noProof/>
              </w:rPr>
              <w:t>3. Principles</w:t>
            </w:r>
            <w:r w:rsidR="008D1975">
              <w:rPr>
                <w:noProof/>
                <w:webHidden/>
              </w:rPr>
              <w:tab/>
            </w:r>
            <w:r w:rsidR="008D1975">
              <w:rPr>
                <w:noProof/>
                <w:webHidden/>
              </w:rPr>
              <w:fldChar w:fldCharType="begin"/>
            </w:r>
            <w:r w:rsidR="008D1975">
              <w:rPr>
                <w:noProof/>
                <w:webHidden/>
              </w:rPr>
              <w:instrText xml:space="preserve"> PAGEREF _Toc180961714 \h </w:instrText>
            </w:r>
            <w:r w:rsidR="008D1975">
              <w:rPr>
                <w:noProof/>
                <w:webHidden/>
              </w:rPr>
            </w:r>
            <w:r w:rsidR="008D1975">
              <w:rPr>
                <w:noProof/>
                <w:webHidden/>
              </w:rPr>
              <w:fldChar w:fldCharType="separate"/>
            </w:r>
            <w:r w:rsidR="008D1975">
              <w:rPr>
                <w:noProof/>
                <w:webHidden/>
              </w:rPr>
              <w:t>3</w:t>
            </w:r>
            <w:r w:rsidR="008D1975">
              <w:rPr>
                <w:noProof/>
                <w:webHidden/>
              </w:rPr>
              <w:fldChar w:fldCharType="end"/>
            </w:r>
          </w:hyperlink>
        </w:p>
        <w:p w14:paraId="1B905BD5" w14:textId="4294831B" w:rsidR="008D1975" w:rsidRDefault="00000000">
          <w:pPr>
            <w:pStyle w:val="TOC2"/>
            <w:tabs>
              <w:tab w:val="right" w:leader="dot" w:pos="9350"/>
            </w:tabs>
            <w:rPr>
              <w:noProof/>
            </w:rPr>
          </w:pPr>
          <w:hyperlink w:anchor="_Toc180961715" w:history="1">
            <w:r w:rsidR="008D1975" w:rsidRPr="00AE2F9D">
              <w:rPr>
                <w:rStyle w:val="Hyperlink"/>
                <w:rFonts w:eastAsia="Times New Roman"/>
                <w:noProof/>
              </w:rPr>
              <w:t>3.1. Commitment to Community</w:t>
            </w:r>
            <w:r w:rsidR="008D1975">
              <w:rPr>
                <w:noProof/>
                <w:webHidden/>
              </w:rPr>
              <w:tab/>
            </w:r>
            <w:r w:rsidR="008D1975">
              <w:rPr>
                <w:noProof/>
                <w:webHidden/>
              </w:rPr>
              <w:fldChar w:fldCharType="begin"/>
            </w:r>
            <w:r w:rsidR="008D1975">
              <w:rPr>
                <w:noProof/>
                <w:webHidden/>
              </w:rPr>
              <w:instrText xml:space="preserve"> PAGEREF _Toc180961715 \h </w:instrText>
            </w:r>
            <w:r w:rsidR="008D1975">
              <w:rPr>
                <w:noProof/>
                <w:webHidden/>
              </w:rPr>
            </w:r>
            <w:r w:rsidR="008D1975">
              <w:rPr>
                <w:noProof/>
                <w:webHidden/>
              </w:rPr>
              <w:fldChar w:fldCharType="separate"/>
            </w:r>
            <w:r w:rsidR="008D1975">
              <w:rPr>
                <w:noProof/>
                <w:webHidden/>
              </w:rPr>
              <w:t>3</w:t>
            </w:r>
            <w:r w:rsidR="008D1975">
              <w:rPr>
                <w:noProof/>
                <w:webHidden/>
              </w:rPr>
              <w:fldChar w:fldCharType="end"/>
            </w:r>
          </w:hyperlink>
        </w:p>
        <w:p w14:paraId="0C1FBE44" w14:textId="2B3E9682" w:rsidR="008D1975" w:rsidRDefault="00000000">
          <w:pPr>
            <w:pStyle w:val="TOC2"/>
            <w:tabs>
              <w:tab w:val="right" w:leader="dot" w:pos="9350"/>
            </w:tabs>
            <w:rPr>
              <w:noProof/>
            </w:rPr>
          </w:pPr>
          <w:hyperlink w:anchor="_Toc180961716" w:history="1">
            <w:r w:rsidR="008D1975" w:rsidRPr="00AE2F9D">
              <w:rPr>
                <w:rStyle w:val="Hyperlink"/>
                <w:rFonts w:eastAsia="Times New Roman"/>
                <w:noProof/>
              </w:rPr>
              <w:t>3.2. Collaboration and Partnership</w:t>
            </w:r>
            <w:r w:rsidR="008D1975">
              <w:rPr>
                <w:noProof/>
                <w:webHidden/>
              </w:rPr>
              <w:tab/>
            </w:r>
            <w:r w:rsidR="008D1975">
              <w:rPr>
                <w:noProof/>
                <w:webHidden/>
              </w:rPr>
              <w:fldChar w:fldCharType="begin"/>
            </w:r>
            <w:r w:rsidR="008D1975">
              <w:rPr>
                <w:noProof/>
                <w:webHidden/>
              </w:rPr>
              <w:instrText xml:space="preserve"> PAGEREF _Toc180961716 \h </w:instrText>
            </w:r>
            <w:r w:rsidR="008D1975">
              <w:rPr>
                <w:noProof/>
                <w:webHidden/>
              </w:rPr>
            </w:r>
            <w:r w:rsidR="008D1975">
              <w:rPr>
                <w:noProof/>
                <w:webHidden/>
              </w:rPr>
              <w:fldChar w:fldCharType="separate"/>
            </w:r>
            <w:r w:rsidR="008D1975">
              <w:rPr>
                <w:noProof/>
                <w:webHidden/>
              </w:rPr>
              <w:t>3</w:t>
            </w:r>
            <w:r w:rsidR="008D1975">
              <w:rPr>
                <w:noProof/>
                <w:webHidden/>
              </w:rPr>
              <w:fldChar w:fldCharType="end"/>
            </w:r>
          </w:hyperlink>
        </w:p>
        <w:p w14:paraId="38D2FFE9" w14:textId="7B9C7296" w:rsidR="008D1975" w:rsidRDefault="00000000">
          <w:pPr>
            <w:pStyle w:val="TOC2"/>
            <w:tabs>
              <w:tab w:val="right" w:leader="dot" w:pos="9350"/>
            </w:tabs>
            <w:rPr>
              <w:noProof/>
            </w:rPr>
          </w:pPr>
          <w:hyperlink w:anchor="_Toc180961717" w:history="1">
            <w:r w:rsidR="008D1975" w:rsidRPr="00AE2F9D">
              <w:rPr>
                <w:rStyle w:val="Hyperlink"/>
                <w:rFonts w:eastAsia="Times New Roman"/>
                <w:noProof/>
              </w:rPr>
              <w:t>3.3. Inclusivity and Diversity</w:t>
            </w:r>
            <w:r w:rsidR="008D1975">
              <w:rPr>
                <w:noProof/>
                <w:webHidden/>
              </w:rPr>
              <w:tab/>
            </w:r>
            <w:r w:rsidR="008D1975">
              <w:rPr>
                <w:noProof/>
                <w:webHidden/>
              </w:rPr>
              <w:fldChar w:fldCharType="begin"/>
            </w:r>
            <w:r w:rsidR="008D1975">
              <w:rPr>
                <w:noProof/>
                <w:webHidden/>
              </w:rPr>
              <w:instrText xml:space="preserve"> PAGEREF _Toc180961717 \h </w:instrText>
            </w:r>
            <w:r w:rsidR="008D1975">
              <w:rPr>
                <w:noProof/>
                <w:webHidden/>
              </w:rPr>
            </w:r>
            <w:r w:rsidR="008D1975">
              <w:rPr>
                <w:noProof/>
                <w:webHidden/>
              </w:rPr>
              <w:fldChar w:fldCharType="separate"/>
            </w:r>
            <w:r w:rsidR="008D1975">
              <w:rPr>
                <w:noProof/>
                <w:webHidden/>
              </w:rPr>
              <w:t>3</w:t>
            </w:r>
            <w:r w:rsidR="008D1975">
              <w:rPr>
                <w:noProof/>
                <w:webHidden/>
              </w:rPr>
              <w:fldChar w:fldCharType="end"/>
            </w:r>
          </w:hyperlink>
        </w:p>
        <w:p w14:paraId="11B052E2" w14:textId="3E8EF936" w:rsidR="008D1975" w:rsidRDefault="00000000">
          <w:pPr>
            <w:pStyle w:val="TOC2"/>
            <w:tabs>
              <w:tab w:val="right" w:leader="dot" w:pos="9350"/>
            </w:tabs>
            <w:rPr>
              <w:noProof/>
            </w:rPr>
          </w:pPr>
          <w:hyperlink w:anchor="_Toc180961718" w:history="1">
            <w:r w:rsidR="008D1975" w:rsidRPr="00AE2F9D">
              <w:rPr>
                <w:rStyle w:val="Hyperlink"/>
                <w:rFonts w:eastAsia="Times New Roman"/>
                <w:noProof/>
              </w:rPr>
              <w:t>3.4. Student-Centered Approach</w:t>
            </w:r>
            <w:r w:rsidR="008D1975">
              <w:rPr>
                <w:noProof/>
                <w:webHidden/>
              </w:rPr>
              <w:tab/>
            </w:r>
            <w:r w:rsidR="008D1975">
              <w:rPr>
                <w:noProof/>
                <w:webHidden/>
              </w:rPr>
              <w:fldChar w:fldCharType="begin"/>
            </w:r>
            <w:r w:rsidR="008D1975">
              <w:rPr>
                <w:noProof/>
                <w:webHidden/>
              </w:rPr>
              <w:instrText xml:space="preserve"> PAGEREF _Toc180961718 \h </w:instrText>
            </w:r>
            <w:r w:rsidR="008D1975">
              <w:rPr>
                <w:noProof/>
                <w:webHidden/>
              </w:rPr>
            </w:r>
            <w:r w:rsidR="008D1975">
              <w:rPr>
                <w:noProof/>
                <w:webHidden/>
              </w:rPr>
              <w:fldChar w:fldCharType="separate"/>
            </w:r>
            <w:r w:rsidR="008D1975">
              <w:rPr>
                <w:noProof/>
                <w:webHidden/>
              </w:rPr>
              <w:t>3</w:t>
            </w:r>
            <w:r w:rsidR="008D1975">
              <w:rPr>
                <w:noProof/>
                <w:webHidden/>
              </w:rPr>
              <w:fldChar w:fldCharType="end"/>
            </w:r>
          </w:hyperlink>
        </w:p>
        <w:p w14:paraId="34685549" w14:textId="49310A85" w:rsidR="008D1975" w:rsidRDefault="00000000">
          <w:pPr>
            <w:pStyle w:val="TOC1"/>
            <w:tabs>
              <w:tab w:val="right" w:leader="dot" w:pos="9350"/>
            </w:tabs>
            <w:rPr>
              <w:rFonts w:eastAsiaTheme="minorEastAsia"/>
              <w:noProof/>
            </w:rPr>
          </w:pPr>
          <w:hyperlink w:anchor="_Toc180961719" w:history="1">
            <w:r w:rsidR="008D1975" w:rsidRPr="00AE2F9D">
              <w:rPr>
                <w:rStyle w:val="Hyperlink"/>
                <w:rFonts w:eastAsia="Times New Roman"/>
                <w:noProof/>
              </w:rPr>
              <w:t>4. Community Service/Engagement Procedures</w:t>
            </w:r>
            <w:r w:rsidR="008D1975">
              <w:rPr>
                <w:noProof/>
                <w:webHidden/>
              </w:rPr>
              <w:tab/>
            </w:r>
            <w:r w:rsidR="008D1975">
              <w:rPr>
                <w:noProof/>
                <w:webHidden/>
              </w:rPr>
              <w:fldChar w:fldCharType="begin"/>
            </w:r>
            <w:r w:rsidR="008D1975">
              <w:rPr>
                <w:noProof/>
                <w:webHidden/>
              </w:rPr>
              <w:instrText xml:space="preserve"> PAGEREF _Toc180961719 \h </w:instrText>
            </w:r>
            <w:r w:rsidR="008D1975">
              <w:rPr>
                <w:noProof/>
                <w:webHidden/>
              </w:rPr>
            </w:r>
            <w:r w:rsidR="008D1975">
              <w:rPr>
                <w:noProof/>
                <w:webHidden/>
              </w:rPr>
              <w:fldChar w:fldCharType="separate"/>
            </w:r>
            <w:r w:rsidR="008D1975">
              <w:rPr>
                <w:noProof/>
                <w:webHidden/>
              </w:rPr>
              <w:t>4</w:t>
            </w:r>
            <w:r w:rsidR="008D1975">
              <w:rPr>
                <w:noProof/>
                <w:webHidden/>
              </w:rPr>
              <w:fldChar w:fldCharType="end"/>
            </w:r>
          </w:hyperlink>
        </w:p>
        <w:p w14:paraId="219C994E" w14:textId="6355F6D9" w:rsidR="008D1975" w:rsidRDefault="00000000">
          <w:pPr>
            <w:pStyle w:val="TOC2"/>
            <w:tabs>
              <w:tab w:val="right" w:leader="dot" w:pos="9350"/>
            </w:tabs>
            <w:rPr>
              <w:noProof/>
            </w:rPr>
          </w:pPr>
          <w:hyperlink w:anchor="_Toc180961720" w:history="1">
            <w:r w:rsidR="008D1975" w:rsidRPr="00AE2F9D">
              <w:rPr>
                <w:rStyle w:val="Hyperlink"/>
                <w:rFonts w:eastAsia="Times New Roman"/>
                <w:noProof/>
              </w:rPr>
              <w:t>4.1. Planning and Development</w:t>
            </w:r>
            <w:r w:rsidR="008D1975">
              <w:rPr>
                <w:noProof/>
                <w:webHidden/>
              </w:rPr>
              <w:tab/>
            </w:r>
            <w:r w:rsidR="008D1975">
              <w:rPr>
                <w:noProof/>
                <w:webHidden/>
              </w:rPr>
              <w:fldChar w:fldCharType="begin"/>
            </w:r>
            <w:r w:rsidR="008D1975">
              <w:rPr>
                <w:noProof/>
                <w:webHidden/>
              </w:rPr>
              <w:instrText xml:space="preserve"> PAGEREF _Toc180961720 \h </w:instrText>
            </w:r>
            <w:r w:rsidR="008D1975">
              <w:rPr>
                <w:noProof/>
                <w:webHidden/>
              </w:rPr>
            </w:r>
            <w:r w:rsidR="008D1975">
              <w:rPr>
                <w:noProof/>
                <w:webHidden/>
              </w:rPr>
              <w:fldChar w:fldCharType="separate"/>
            </w:r>
            <w:r w:rsidR="008D1975">
              <w:rPr>
                <w:noProof/>
                <w:webHidden/>
              </w:rPr>
              <w:t>4</w:t>
            </w:r>
            <w:r w:rsidR="008D1975">
              <w:rPr>
                <w:noProof/>
                <w:webHidden/>
              </w:rPr>
              <w:fldChar w:fldCharType="end"/>
            </w:r>
          </w:hyperlink>
        </w:p>
        <w:p w14:paraId="0FB1F944" w14:textId="3F77776C" w:rsidR="008D1975" w:rsidRDefault="00000000">
          <w:pPr>
            <w:pStyle w:val="TOC2"/>
            <w:tabs>
              <w:tab w:val="right" w:leader="dot" w:pos="9350"/>
            </w:tabs>
            <w:rPr>
              <w:noProof/>
            </w:rPr>
          </w:pPr>
          <w:hyperlink w:anchor="_Toc180961721" w:history="1">
            <w:r w:rsidR="008D1975" w:rsidRPr="00AE2F9D">
              <w:rPr>
                <w:rStyle w:val="Hyperlink"/>
                <w:rFonts w:eastAsia="Times New Roman"/>
                <w:noProof/>
              </w:rPr>
              <w:t>4.2. Implementation</w:t>
            </w:r>
            <w:r w:rsidR="008D1975">
              <w:rPr>
                <w:noProof/>
                <w:webHidden/>
              </w:rPr>
              <w:tab/>
            </w:r>
            <w:r w:rsidR="008D1975">
              <w:rPr>
                <w:noProof/>
                <w:webHidden/>
              </w:rPr>
              <w:fldChar w:fldCharType="begin"/>
            </w:r>
            <w:r w:rsidR="008D1975">
              <w:rPr>
                <w:noProof/>
                <w:webHidden/>
              </w:rPr>
              <w:instrText xml:space="preserve"> PAGEREF _Toc180961721 \h </w:instrText>
            </w:r>
            <w:r w:rsidR="008D1975">
              <w:rPr>
                <w:noProof/>
                <w:webHidden/>
              </w:rPr>
            </w:r>
            <w:r w:rsidR="008D1975">
              <w:rPr>
                <w:noProof/>
                <w:webHidden/>
              </w:rPr>
              <w:fldChar w:fldCharType="separate"/>
            </w:r>
            <w:r w:rsidR="008D1975">
              <w:rPr>
                <w:noProof/>
                <w:webHidden/>
              </w:rPr>
              <w:t>4</w:t>
            </w:r>
            <w:r w:rsidR="008D1975">
              <w:rPr>
                <w:noProof/>
                <w:webHidden/>
              </w:rPr>
              <w:fldChar w:fldCharType="end"/>
            </w:r>
          </w:hyperlink>
        </w:p>
        <w:p w14:paraId="39B45476" w14:textId="4A4BC7C6" w:rsidR="008D1975" w:rsidRDefault="00000000">
          <w:pPr>
            <w:pStyle w:val="TOC2"/>
            <w:tabs>
              <w:tab w:val="right" w:leader="dot" w:pos="9350"/>
            </w:tabs>
            <w:rPr>
              <w:noProof/>
            </w:rPr>
          </w:pPr>
          <w:hyperlink w:anchor="_Toc180961722" w:history="1">
            <w:r w:rsidR="008D1975" w:rsidRPr="00AE2F9D">
              <w:rPr>
                <w:rStyle w:val="Hyperlink"/>
                <w:rFonts w:eastAsia="Times New Roman"/>
                <w:noProof/>
              </w:rPr>
              <w:t>4.3. Evaluation and Assessment</w:t>
            </w:r>
            <w:r w:rsidR="008D1975">
              <w:rPr>
                <w:noProof/>
                <w:webHidden/>
              </w:rPr>
              <w:tab/>
            </w:r>
            <w:r w:rsidR="008D1975">
              <w:rPr>
                <w:noProof/>
                <w:webHidden/>
              </w:rPr>
              <w:fldChar w:fldCharType="begin"/>
            </w:r>
            <w:r w:rsidR="008D1975">
              <w:rPr>
                <w:noProof/>
                <w:webHidden/>
              </w:rPr>
              <w:instrText xml:space="preserve"> PAGEREF _Toc180961722 \h </w:instrText>
            </w:r>
            <w:r w:rsidR="008D1975">
              <w:rPr>
                <w:noProof/>
                <w:webHidden/>
              </w:rPr>
            </w:r>
            <w:r w:rsidR="008D1975">
              <w:rPr>
                <w:noProof/>
                <w:webHidden/>
              </w:rPr>
              <w:fldChar w:fldCharType="separate"/>
            </w:r>
            <w:r w:rsidR="008D1975">
              <w:rPr>
                <w:noProof/>
                <w:webHidden/>
              </w:rPr>
              <w:t>4</w:t>
            </w:r>
            <w:r w:rsidR="008D1975">
              <w:rPr>
                <w:noProof/>
                <w:webHidden/>
              </w:rPr>
              <w:fldChar w:fldCharType="end"/>
            </w:r>
          </w:hyperlink>
        </w:p>
        <w:p w14:paraId="5618F387" w14:textId="0FF7FF49" w:rsidR="008D1975" w:rsidRDefault="00000000">
          <w:pPr>
            <w:pStyle w:val="TOC2"/>
            <w:tabs>
              <w:tab w:val="right" w:leader="dot" w:pos="9350"/>
            </w:tabs>
            <w:rPr>
              <w:noProof/>
            </w:rPr>
          </w:pPr>
          <w:hyperlink w:anchor="_Toc180961723" w:history="1">
            <w:r w:rsidR="008D1975" w:rsidRPr="00AE2F9D">
              <w:rPr>
                <w:rStyle w:val="Hyperlink"/>
                <w:rFonts w:eastAsia="Times New Roman"/>
                <w:noProof/>
              </w:rPr>
              <w:t>4.4. Recognition and Incentives</w:t>
            </w:r>
            <w:r w:rsidR="008D1975">
              <w:rPr>
                <w:noProof/>
                <w:webHidden/>
              </w:rPr>
              <w:tab/>
            </w:r>
            <w:r w:rsidR="008D1975">
              <w:rPr>
                <w:noProof/>
                <w:webHidden/>
              </w:rPr>
              <w:fldChar w:fldCharType="begin"/>
            </w:r>
            <w:r w:rsidR="008D1975">
              <w:rPr>
                <w:noProof/>
                <w:webHidden/>
              </w:rPr>
              <w:instrText xml:space="preserve"> PAGEREF _Toc180961723 \h </w:instrText>
            </w:r>
            <w:r w:rsidR="008D1975">
              <w:rPr>
                <w:noProof/>
                <w:webHidden/>
              </w:rPr>
            </w:r>
            <w:r w:rsidR="008D1975">
              <w:rPr>
                <w:noProof/>
                <w:webHidden/>
              </w:rPr>
              <w:fldChar w:fldCharType="separate"/>
            </w:r>
            <w:r w:rsidR="008D1975">
              <w:rPr>
                <w:noProof/>
                <w:webHidden/>
              </w:rPr>
              <w:t>4</w:t>
            </w:r>
            <w:r w:rsidR="008D1975">
              <w:rPr>
                <w:noProof/>
                <w:webHidden/>
              </w:rPr>
              <w:fldChar w:fldCharType="end"/>
            </w:r>
          </w:hyperlink>
        </w:p>
        <w:p w14:paraId="164378E2" w14:textId="53155FD4" w:rsidR="008D1975" w:rsidRDefault="00000000">
          <w:pPr>
            <w:pStyle w:val="TOC1"/>
            <w:tabs>
              <w:tab w:val="right" w:leader="dot" w:pos="9350"/>
            </w:tabs>
            <w:rPr>
              <w:rFonts w:eastAsiaTheme="minorEastAsia"/>
              <w:noProof/>
            </w:rPr>
          </w:pPr>
          <w:hyperlink w:anchor="_Toc180961724" w:history="1">
            <w:r w:rsidR="008D1975" w:rsidRPr="00AE2F9D">
              <w:rPr>
                <w:rStyle w:val="Hyperlink"/>
                <w:rFonts w:eastAsia="Times New Roman"/>
                <w:noProof/>
              </w:rPr>
              <w:t>5. Roles and Responsibilities</w:t>
            </w:r>
            <w:r w:rsidR="008D1975">
              <w:rPr>
                <w:noProof/>
                <w:webHidden/>
              </w:rPr>
              <w:tab/>
            </w:r>
            <w:r w:rsidR="008D1975">
              <w:rPr>
                <w:noProof/>
                <w:webHidden/>
              </w:rPr>
              <w:fldChar w:fldCharType="begin"/>
            </w:r>
            <w:r w:rsidR="008D1975">
              <w:rPr>
                <w:noProof/>
                <w:webHidden/>
              </w:rPr>
              <w:instrText xml:space="preserve"> PAGEREF _Toc180961724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35812CBA" w14:textId="187E345E" w:rsidR="008D1975" w:rsidRDefault="00000000">
          <w:pPr>
            <w:pStyle w:val="TOC2"/>
            <w:tabs>
              <w:tab w:val="right" w:leader="dot" w:pos="9350"/>
            </w:tabs>
            <w:rPr>
              <w:noProof/>
            </w:rPr>
          </w:pPr>
          <w:hyperlink w:anchor="_Toc180961725" w:history="1">
            <w:r w:rsidR="008D1975" w:rsidRPr="00AE2F9D">
              <w:rPr>
                <w:rStyle w:val="Hyperlink"/>
                <w:rFonts w:eastAsia="Times New Roman"/>
                <w:noProof/>
              </w:rPr>
              <w:t>5.1. University Administration</w:t>
            </w:r>
            <w:r w:rsidR="008D1975">
              <w:rPr>
                <w:noProof/>
                <w:webHidden/>
              </w:rPr>
              <w:tab/>
            </w:r>
            <w:r w:rsidR="008D1975">
              <w:rPr>
                <w:noProof/>
                <w:webHidden/>
              </w:rPr>
              <w:fldChar w:fldCharType="begin"/>
            </w:r>
            <w:r w:rsidR="008D1975">
              <w:rPr>
                <w:noProof/>
                <w:webHidden/>
              </w:rPr>
              <w:instrText xml:space="preserve"> PAGEREF _Toc180961725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379D9F02" w14:textId="5E6C9F2D" w:rsidR="008D1975" w:rsidRDefault="00000000">
          <w:pPr>
            <w:pStyle w:val="TOC2"/>
            <w:tabs>
              <w:tab w:val="right" w:leader="dot" w:pos="9350"/>
            </w:tabs>
            <w:rPr>
              <w:noProof/>
            </w:rPr>
          </w:pPr>
          <w:hyperlink w:anchor="_Toc180961726" w:history="1">
            <w:r w:rsidR="008D1975" w:rsidRPr="00AE2F9D">
              <w:rPr>
                <w:rStyle w:val="Hyperlink"/>
                <w:rFonts w:eastAsia="Times New Roman"/>
                <w:noProof/>
              </w:rPr>
              <w:t>5.2. Faculty and Staff</w:t>
            </w:r>
            <w:r w:rsidR="008D1975">
              <w:rPr>
                <w:noProof/>
                <w:webHidden/>
              </w:rPr>
              <w:tab/>
            </w:r>
            <w:r w:rsidR="008D1975">
              <w:rPr>
                <w:noProof/>
                <w:webHidden/>
              </w:rPr>
              <w:fldChar w:fldCharType="begin"/>
            </w:r>
            <w:r w:rsidR="008D1975">
              <w:rPr>
                <w:noProof/>
                <w:webHidden/>
              </w:rPr>
              <w:instrText xml:space="preserve"> PAGEREF _Toc180961726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34E9D57C" w14:textId="67844735" w:rsidR="008D1975" w:rsidRDefault="00000000">
          <w:pPr>
            <w:pStyle w:val="TOC2"/>
            <w:tabs>
              <w:tab w:val="right" w:leader="dot" w:pos="9350"/>
            </w:tabs>
            <w:rPr>
              <w:noProof/>
            </w:rPr>
          </w:pPr>
          <w:hyperlink w:anchor="_Toc180961727" w:history="1">
            <w:r w:rsidR="008D1975" w:rsidRPr="00AE2F9D">
              <w:rPr>
                <w:rStyle w:val="Hyperlink"/>
                <w:rFonts w:eastAsia="Times New Roman"/>
                <w:noProof/>
              </w:rPr>
              <w:t>5.3. Students</w:t>
            </w:r>
            <w:r w:rsidR="008D1975">
              <w:rPr>
                <w:noProof/>
                <w:webHidden/>
              </w:rPr>
              <w:tab/>
            </w:r>
            <w:r w:rsidR="008D1975">
              <w:rPr>
                <w:noProof/>
                <w:webHidden/>
              </w:rPr>
              <w:fldChar w:fldCharType="begin"/>
            </w:r>
            <w:r w:rsidR="008D1975">
              <w:rPr>
                <w:noProof/>
                <w:webHidden/>
              </w:rPr>
              <w:instrText xml:space="preserve"> PAGEREF _Toc180961727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09AFD403" w14:textId="57B1D3CE" w:rsidR="008D1975" w:rsidRDefault="00000000">
          <w:pPr>
            <w:pStyle w:val="TOC2"/>
            <w:tabs>
              <w:tab w:val="right" w:leader="dot" w:pos="9350"/>
            </w:tabs>
            <w:rPr>
              <w:noProof/>
            </w:rPr>
          </w:pPr>
          <w:hyperlink w:anchor="_Toc180961728" w:history="1">
            <w:r w:rsidR="008D1975" w:rsidRPr="00AE2F9D">
              <w:rPr>
                <w:rStyle w:val="Hyperlink"/>
                <w:rFonts w:eastAsia="Times New Roman"/>
                <w:noProof/>
              </w:rPr>
              <w:t>5.4. Community Partners</w:t>
            </w:r>
            <w:r w:rsidR="008D1975">
              <w:rPr>
                <w:noProof/>
                <w:webHidden/>
              </w:rPr>
              <w:tab/>
            </w:r>
            <w:r w:rsidR="008D1975">
              <w:rPr>
                <w:noProof/>
                <w:webHidden/>
              </w:rPr>
              <w:fldChar w:fldCharType="begin"/>
            </w:r>
            <w:r w:rsidR="008D1975">
              <w:rPr>
                <w:noProof/>
                <w:webHidden/>
              </w:rPr>
              <w:instrText xml:space="preserve"> PAGEREF _Toc180961728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39652206" w14:textId="784ED0D7" w:rsidR="008D1975" w:rsidRDefault="00000000">
          <w:pPr>
            <w:pStyle w:val="TOC1"/>
            <w:tabs>
              <w:tab w:val="right" w:leader="dot" w:pos="9350"/>
            </w:tabs>
            <w:rPr>
              <w:rFonts w:eastAsiaTheme="minorEastAsia"/>
              <w:noProof/>
            </w:rPr>
          </w:pPr>
          <w:hyperlink w:anchor="_Toc180961729" w:history="1">
            <w:r w:rsidR="008D1975" w:rsidRPr="00AE2F9D">
              <w:rPr>
                <w:rStyle w:val="Hyperlink"/>
                <w:rFonts w:eastAsia="Times New Roman"/>
                <w:noProof/>
              </w:rPr>
              <w:t>6. Continuous Improvement</w:t>
            </w:r>
            <w:r w:rsidR="008D1975">
              <w:rPr>
                <w:noProof/>
                <w:webHidden/>
              </w:rPr>
              <w:tab/>
            </w:r>
            <w:r w:rsidR="008D1975">
              <w:rPr>
                <w:noProof/>
                <w:webHidden/>
              </w:rPr>
              <w:fldChar w:fldCharType="begin"/>
            </w:r>
            <w:r w:rsidR="008D1975">
              <w:rPr>
                <w:noProof/>
                <w:webHidden/>
              </w:rPr>
              <w:instrText xml:space="preserve"> PAGEREF _Toc180961729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77D71D16" w14:textId="7082B7B6" w:rsidR="008D1975" w:rsidRDefault="00000000">
          <w:pPr>
            <w:pStyle w:val="TOC2"/>
            <w:tabs>
              <w:tab w:val="right" w:leader="dot" w:pos="9350"/>
            </w:tabs>
            <w:rPr>
              <w:noProof/>
            </w:rPr>
          </w:pPr>
          <w:hyperlink w:anchor="_Toc180961730" w:history="1">
            <w:r w:rsidR="008D1975" w:rsidRPr="00AE2F9D">
              <w:rPr>
                <w:rStyle w:val="Hyperlink"/>
                <w:rFonts w:eastAsia="Times New Roman"/>
                <w:noProof/>
              </w:rPr>
              <w:t>6.1. Regular Review of Programs</w:t>
            </w:r>
            <w:r w:rsidR="008D1975">
              <w:rPr>
                <w:noProof/>
                <w:webHidden/>
              </w:rPr>
              <w:tab/>
            </w:r>
            <w:r w:rsidR="008D1975">
              <w:rPr>
                <w:noProof/>
                <w:webHidden/>
              </w:rPr>
              <w:fldChar w:fldCharType="begin"/>
            </w:r>
            <w:r w:rsidR="008D1975">
              <w:rPr>
                <w:noProof/>
                <w:webHidden/>
              </w:rPr>
              <w:instrText xml:space="preserve"> PAGEREF _Toc180961730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1283DE30" w14:textId="7EC23D0F" w:rsidR="008D1975" w:rsidRDefault="00000000">
          <w:pPr>
            <w:pStyle w:val="TOC2"/>
            <w:tabs>
              <w:tab w:val="right" w:leader="dot" w:pos="9350"/>
            </w:tabs>
            <w:rPr>
              <w:noProof/>
            </w:rPr>
          </w:pPr>
          <w:hyperlink w:anchor="_Toc180961731" w:history="1">
            <w:r w:rsidR="008D1975" w:rsidRPr="00AE2F9D">
              <w:rPr>
                <w:rStyle w:val="Hyperlink"/>
                <w:rFonts w:eastAsia="Times New Roman"/>
                <w:noProof/>
              </w:rPr>
              <w:t>6.2. Best Practices</w:t>
            </w:r>
            <w:r w:rsidR="008D1975">
              <w:rPr>
                <w:noProof/>
                <w:webHidden/>
              </w:rPr>
              <w:tab/>
            </w:r>
            <w:r w:rsidR="008D1975">
              <w:rPr>
                <w:noProof/>
                <w:webHidden/>
              </w:rPr>
              <w:fldChar w:fldCharType="begin"/>
            </w:r>
            <w:r w:rsidR="008D1975">
              <w:rPr>
                <w:noProof/>
                <w:webHidden/>
              </w:rPr>
              <w:instrText xml:space="preserve"> PAGEREF _Toc180961731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67EFA164" w14:textId="37718CA2" w:rsidR="008D1975" w:rsidRDefault="00000000">
          <w:pPr>
            <w:pStyle w:val="TOC2"/>
            <w:tabs>
              <w:tab w:val="right" w:leader="dot" w:pos="9350"/>
            </w:tabs>
            <w:rPr>
              <w:noProof/>
            </w:rPr>
          </w:pPr>
          <w:hyperlink w:anchor="_Toc180961732" w:history="1">
            <w:r w:rsidR="008D1975" w:rsidRPr="00AE2F9D">
              <w:rPr>
                <w:rStyle w:val="Hyperlink"/>
                <w:rFonts w:eastAsia="Times New Roman"/>
                <w:noProof/>
              </w:rPr>
              <w:t>6.3. Research and Innovation</w:t>
            </w:r>
            <w:r w:rsidR="008D1975">
              <w:rPr>
                <w:noProof/>
                <w:webHidden/>
              </w:rPr>
              <w:tab/>
            </w:r>
            <w:r w:rsidR="008D1975">
              <w:rPr>
                <w:noProof/>
                <w:webHidden/>
              </w:rPr>
              <w:fldChar w:fldCharType="begin"/>
            </w:r>
            <w:r w:rsidR="008D1975">
              <w:rPr>
                <w:noProof/>
                <w:webHidden/>
              </w:rPr>
              <w:instrText xml:space="preserve"> PAGEREF _Toc180961732 \h </w:instrText>
            </w:r>
            <w:r w:rsidR="008D1975">
              <w:rPr>
                <w:noProof/>
                <w:webHidden/>
              </w:rPr>
            </w:r>
            <w:r w:rsidR="008D1975">
              <w:rPr>
                <w:noProof/>
                <w:webHidden/>
              </w:rPr>
              <w:fldChar w:fldCharType="separate"/>
            </w:r>
            <w:r w:rsidR="008D1975">
              <w:rPr>
                <w:noProof/>
                <w:webHidden/>
              </w:rPr>
              <w:t>5</w:t>
            </w:r>
            <w:r w:rsidR="008D1975">
              <w:rPr>
                <w:noProof/>
                <w:webHidden/>
              </w:rPr>
              <w:fldChar w:fldCharType="end"/>
            </w:r>
          </w:hyperlink>
        </w:p>
        <w:p w14:paraId="6F0F5DE1" w14:textId="0021AC55" w:rsidR="008D1975" w:rsidRDefault="00000000">
          <w:pPr>
            <w:pStyle w:val="TOC1"/>
            <w:tabs>
              <w:tab w:val="right" w:leader="dot" w:pos="9350"/>
            </w:tabs>
            <w:rPr>
              <w:rFonts w:eastAsiaTheme="minorEastAsia"/>
              <w:noProof/>
            </w:rPr>
          </w:pPr>
          <w:hyperlink w:anchor="_Toc180961733" w:history="1">
            <w:r w:rsidR="008D1975" w:rsidRPr="00AE2F9D">
              <w:rPr>
                <w:rStyle w:val="Hyperlink"/>
                <w:rFonts w:eastAsia="Times New Roman"/>
                <w:noProof/>
              </w:rPr>
              <w:t>7. Policy Review and Updates</w:t>
            </w:r>
            <w:r w:rsidR="008D1975">
              <w:rPr>
                <w:noProof/>
                <w:webHidden/>
              </w:rPr>
              <w:tab/>
            </w:r>
            <w:r w:rsidR="008D1975">
              <w:rPr>
                <w:noProof/>
                <w:webHidden/>
              </w:rPr>
              <w:fldChar w:fldCharType="begin"/>
            </w:r>
            <w:r w:rsidR="008D1975">
              <w:rPr>
                <w:noProof/>
                <w:webHidden/>
              </w:rPr>
              <w:instrText xml:space="preserve"> PAGEREF _Toc180961733 \h </w:instrText>
            </w:r>
            <w:r w:rsidR="008D1975">
              <w:rPr>
                <w:noProof/>
                <w:webHidden/>
              </w:rPr>
            </w:r>
            <w:r w:rsidR="008D1975">
              <w:rPr>
                <w:noProof/>
                <w:webHidden/>
              </w:rPr>
              <w:fldChar w:fldCharType="separate"/>
            </w:r>
            <w:r w:rsidR="008D1975">
              <w:rPr>
                <w:noProof/>
                <w:webHidden/>
              </w:rPr>
              <w:t>6</w:t>
            </w:r>
            <w:r w:rsidR="008D1975">
              <w:rPr>
                <w:noProof/>
                <w:webHidden/>
              </w:rPr>
              <w:fldChar w:fldCharType="end"/>
            </w:r>
          </w:hyperlink>
        </w:p>
        <w:p w14:paraId="3B9177CD" w14:textId="05604B57" w:rsidR="008D1975" w:rsidRDefault="00000000">
          <w:pPr>
            <w:pStyle w:val="TOC1"/>
            <w:tabs>
              <w:tab w:val="right" w:leader="dot" w:pos="9350"/>
            </w:tabs>
            <w:rPr>
              <w:rFonts w:eastAsiaTheme="minorEastAsia"/>
              <w:noProof/>
            </w:rPr>
          </w:pPr>
          <w:hyperlink w:anchor="_Toc180961734" w:history="1">
            <w:r w:rsidR="008D1975" w:rsidRPr="00AE2F9D">
              <w:rPr>
                <w:rStyle w:val="Hyperlink"/>
                <w:rFonts w:eastAsia="Times New Roman"/>
                <w:noProof/>
              </w:rPr>
              <w:t>8. Conclusion</w:t>
            </w:r>
            <w:r w:rsidR="008D1975">
              <w:rPr>
                <w:noProof/>
                <w:webHidden/>
              </w:rPr>
              <w:tab/>
            </w:r>
            <w:r w:rsidR="008D1975">
              <w:rPr>
                <w:noProof/>
                <w:webHidden/>
              </w:rPr>
              <w:fldChar w:fldCharType="begin"/>
            </w:r>
            <w:r w:rsidR="008D1975">
              <w:rPr>
                <w:noProof/>
                <w:webHidden/>
              </w:rPr>
              <w:instrText xml:space="preserve"> PAGEREF _Toc180961734 \h </w:instrText>
            </w:r>
            <w:r w:rsidR="008D1975">
              <w:rPr>
                <w:noProof/>
                <w:webHidden/>
              </w:rPr>
            </w:r>
            <w:r w:rsidR="008D1975">
              <w:rPr>
                <w:noProof/>
                <w:webHidden/>
              </w:rPr>
              <w:fldChar w:fldCharType="separate"/>
            </w:r>
            <w:r w:rsidR="008D1975">
              <w:rPr>
                <w:noProof/>
                <w:webHidden/>
              </w:rPr>
              <w:t>6</w:t>
            </w:r>
            <w:r w:rsidR="008D1975">
              <w:rPr>
                <w:noProof/>
                <w:webHidden/>
              </w:rPr>
              <w:fldChar w:fldCharType="end"/>
            </w:r>
          </w:hyperlink>
        </w:p>
        <w:p w14:paraId="5CAAC8EF" w14:textId="56ADBF13" w:rsidR="00382ECD" w:rsidRDefault="00382ECD">
          <w:r>
            <w:rPr>
              <w:b/>
              <w:bCs/>
              <w:noProof/>
            </w:rPr>
            <w:fldChar w:fldCharType="end"/>
          </w:r>
        </w:p>
      </w:sdtContent>
    </w:sdt>
    <w:p w14:paraId="25AAE936" w14:textId="089436DE" w:rsidR="00382ECD" w:rsidRDefault="00382ECD" w:rsidP="00382ECD">
      <w:pPr>
        <w:rPr>
          <w:rFonts w:cstheme="minorHAnsi"/>
        </w:rPr>
      </w:pPr>
    </w:p>
    <w:p w14:paraId="39099680" w14:textId="3D83BB3D" w:rsidR="008D1975" w:rsidRDefault="008D1975" w:rsidP="00382ECD">
      <w:pPr>
        <w:rPr>
          <w:rFonts w:cstheme="minorHAnsi"/>
        </w:rPr>
      </w:pPr>
    </w:p>
    <w:p w14:paraId="01B2F3BF" w14:textId="27A825DB" w:rsidR="008D1975" w:rsidRDefault="008D1975" w:rsidP="00382ECD">
      <w:pPr>
        <w:rPr>
          <w:rFonts w:cstheme="minorHAnsi"/>
        </w:rPr>
      </w:pPr>
    </w:p>
    <w:p w14:paraId="78C0FB34" w14:textId="0B288FA4" w:rsidR="008D1975" w:rsidRDefault="008D1975" w:rsidP="00382ECD">
      <w:pPr>
        <w:rPr>
          <w:rFonts w:cstheme="minorHAnsi"/>
        </w:rPr>
      </w:pPr>
    </w:p>
    <w:p w14:paraId="2E1B4166" w14:textId="77777777" w:rsidR="008D1975" w:rsidRPr="00382ECD" w:rsidRDefault="008D1975" w:rsidP="00382ECD">
      <w:pPr>
        <w:rPr>
          <w:rFonts w:cstheme="minorHAnsi"/>
        </w:rPr>
      </w:pPr>
    </w:p>
    <w:p w14:paraId="5A2C7B8D" w14:textId="77777777" w:rsidR="00BA22DD" w:rsidRPr="00382ECD" w:rsidRDefault="00BA22DD" w:rsidP="00382ECD">
      <w:pPr>
        <w:pStyle w:val="Heading1"/>
        <w:rPr>
          <w:rFonts w:eastAsia="Times New Roman"/>
        </w:rPr>
      </w:pPr>
      <w:bookmarkStart w:id="0" w:name="_Toc180961712"/>
      <w:r w:rsidRPr="00382ECD">
        <w:rPr>
          <w:rFonts w:eastAsia="Times New Roman"/>
        </w:rPr>
        <w:lastRenderedPageBreak/>
        <w:t>1. Introduction</w:t>
      </w:r>
      <w:bookmarkEnd w:id="0"/>
    </w:p>
    <w:p w14:paraId="778CB00E" w14:textId="77777777" w:rsidR="00BA22DD" w:rsidRPr="00382ECD" w:rsidRDefault="00BA22DD" w:rsidP="00382ECD">
      <w:p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The University is dedicated to fostering a strong sense of community engagement and social responsibility among its students, faculty, and staff. This Quality Assurance (QA) Policy outlines the principles and procedures for ensuring that community service initiatives are effective, impactful, and aligned with the University’s mission to serve the public good. Through this policy, the University aims to enhance the quality of community engagement activities and ensure meaningful contributions to the community.</w:t>
      </w:r>
    </w:p>
    <w:p w14:paraId="6B4AEF23" w14:textId="034F6F3E" w:rsidR="00BA22DD" w:rsidRPr="00382ECD" w:rsidRDefault="00BA22DD" w:rsidP="00BA22DD">
      <w:pPr>
        <w:spacing w:after="0" w:line="240" w:lineRule="auto"/>
        <w:rPr>
          <w:rFonts w:eastAsia="Times New Roman" w:cstheme="minorHAnsi"/>
          <w:sz w:val="24"/>
          <w:szCs w:val="24"/>
        </w:rPr>
      </w:pPr>
    </w:p>
    <w:p w14:paraId="34C4FAD7" w14:textId="77777777" w:rsidR="00BA22DD" w:rsidRPr="00382ECD" w:rsidRDefault="00BA22DD" w:rsidP="00382ECD">
      <w:pPr>
        <w:pStyle w:val="Heading1"/>
        <w:rPr>
          <w:rFonts w:eastAsia="Times New Roman"/>
        </w:rPr>
      </w:pPr>
      <w:bookmarkStart w:id="1" w:name="_Toc180961713"/>
      <w:r w:rsidRPr="00382ECD">
        <w:rPr>
          <w:rFonts w:eastAsia="Times New Roman"/>
        </w:rPr>
        <w:t>2. Objectives</w:t>
      </w:r>
      <w:bookmarkEnd w:id="1"/>
    </w:p>
    <w:p w14:paraId="03D7DDF4" w14:textId="77777777" w:rsidR="00BA22DD" w:rsidRPr="00382ECD" w:rsidRDefault="00BA22DD" w:rsidP="00BA22DD">
      <w:pPr>
        <w:spacing w:before="100" w:beforeAutospacing="1" w:after="100" w:afterAutospacing="1" w:line="240" w:lineRule="auto"/>
        <w:rPr>
          <w:rFonts w:eastAsia="Times New Roman" w:cstheme="minorHAnsi"/>
          <w:sz w:val="24"/>
          <w:szCs w:val="24"/>
        </w:rPr>
      </w:pPr>
      <w:r w:rsidRPr="00382ECD">
        <w:rPr>
          <w:rFonts w:eastAsia="Times New Roman" w:cstheme="minorHAnsi"/>
          <w:sz w:val="24"/>
          <w:szCs w:val="24"/>
        </w:rPr>
        <w:t>The key objectives of this policy are:</w:t>
      </w:r>
    </w:p>
    <w:p w14:paraId="0B6A96EF" w14:textId="77777777" w:rsidR="00BA22DD" w:rsidRPr="00382ECD" w:rsidRDefault="00BA22DD" w:rsidP="00382ECD">
      <w:pPr>
        <w:numPr>
          <w:ilvl w:val="0"/>
          <w:numId w:val="1"/>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To establish a framework for the planning, implementation, and evaluation of community service initiatives.</w:t>
      </w:r>
    </w:p>
    <w:p w14:paraId="132D18A2" w14:textId="77777777" w:rsidR="00BA22DD" w:rsidRPr="00382ECD" w:rsidRDefault="00BA22DD" w:rsidP="00382ECD">
      <w:pPr>
        <w:numPr>
          <w:ilvl w:val="0"/>
          <w:numId w:val="1"/>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To promote the integration of community service into the educational experience of students, fostering civic responsibility and leadership skills.</w:t>
      </w:r>
    </w:p>
    <w:p w14:paraId="4416AF1B" w14:textId="77777777" w:rsidR="00BA22DD" w:rsidRPr="00382ECD" w:rsidRDefault="00BA22DD" w:rsidP="00382ECD">
      <w:pPr>
        <w:numPr>
          <w:ilvl w:val="0"/>
          <w:numId w:val="1"/>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To enhance collaboration between the University and community organizations, ensuring mutual benefit and impact.</w:t>
      </w:r>
    </w:p>
    <w:p w14:paraId="354877C0" w14:textId="77777777" w:rsidR="00BA22DD" w:rsidRPr="00382ECD" w:rsidRDefault="00BA22DD" w:rsidP="00382ECD">
      <w:pPr>
        <w:numPr>
          <w:ilvl w:val="0"/>
          <w:numId w:val="1"/>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To assess and continuously improve the quality and effectiveness of community service programs.</w:t>
      </w:r>
    </w:p>
    <w:p w14:paraId="3826CB87" w14:textId="26B12F54" w:rsidR="00BA22DD" w:rsidRPr="00382ECD" w:rsidRDefault="00BA22DD" w:rsidP="00BA22DD">
      <w:pPr>
        <w:spacing w:after="0" w:line="240" w:lineRule="auto"/>
        <w:rPr>
          <w:rFonts w:eastAsia="Times New Roman" w:cstheme="minorHAnsi"/>
          <w:sz w:val="24"/>
          <w:szCs w:val="24"/>
        </w:rPr>
      </w:pPr>
    </w:p>
    <w:p w14:paraId="435ADE86" w14:textId="77777777" w:rsidR="00BA22DD" w:rsidRPr="00382ECD" w:rsidRDefault="00BA22DD" w:rsidP="00382ECD">
      <w:pPr>
        <w:pStyle w:val="Heading1"/>
        <w:rPr>
          <w:rFonts w:eastAsia="Times New Roman"/>
        </w:rPr>
      </w:pPr>
      <w:bookmarkStart w:id="2" w:name="_Toc180961714"/>
      <w:r w:rsidRPr="00382ECD">
        <w:rPr>
          <w:rFonts w:eastAsia="Times New Roman"/>
        </w:rPr>
        <w:t>3. Principles</w:t>
      </w:r>
      <w:bookmarkEnd w:id="2"/>
    </w:p>
    <w:p w14:paraId="1017846A" w14:textId="77777777" w:rsidR="00BA22DD" w:rsidRPr="00382ECD" w:rsidRDefault="00BA22DD" w:rsidP="00382ECD">
      <w:pPr>
        <w:pStyle w:val="Heading2"/>
        <w:rPr>
          <w:rFonts w:eastAsia="Times New Roman"/>
        </w:rPr>
      </w:pPr>
      <w:bookmarkStart w:id="3" w:name="_Toc180961715"/>
      <w:r w:rsidRPr="00382ECD">
        <w:rPr>
          <w:rFonts w:eastAsia="Times New Roman"/>
        </w:rPr>
        <w:t>3.1. Commitment to Community</w:t>
      </w:r>
      <w:bookmarkEnd w:id="3"/>
    </w:p>
    <w:p w14:paraId="713F7FCA" w14:textId="77777777" w:rsidR="00BA22DD" w:rsidRPr="00382ECD" w:rsidRDefault="00BA22DD" w:rsidP="00382ECD">
      <w:pPr>
        <w:pStyle w:val="ListParagraph"/>
        <w:numPr>
          <w:ilvl w:val="0"/>
          <w:numId w:val="17"/>
        </w:numPr>
        <w:spacing w:before="100" w:beforeAutospacing="1" w:after="100" w:afterAutospacing="1" w:line="240" w:lineRule="auto"/>
        <w:rPr>
          <w:rFonts w:eastAsia="Times New Roman" w:cstheme="minorHAnsi"/>
          <w:sz w:val="24"/>
          <w:szCs w:val="24"/>
        </w:rPr>
      </w:pPr>
      <w:r w:rsidRPr="00382ECD">
        <w:rPr>
          <w:rFonts w:eastAsia="Times New Roman" w:cstheme="minorHAnsi"/>
          <w:sz w:val="24"/>
          <w:szCs w:val="24"/>
        </w:rPr>
        <w:t>The University recognizes its responsibility to contribute positively to the community and to address social, economic, and environmental challenges.</w:t>
      </w:r>
    </w:p>
    <w:p w14:paraId="2C166BCF" w14:textId="77777777" w:rsidR="00BA22DD" w:rsidRPr="00382ECD" w:rsidRDefault="00BA22DD" w:rsidP="00382ECD">
      <w:pPr>
        <w:pStyle w:val="Heading2"/>
        <w:rPr>
          <w:rFonts w:eastAsia="Times New Roman"/>
        </w:rPr>
      </w:pPr>
      <w:bookmarkStart w:id="4" w:name="_Toc180961716"/>
      <w:r w:rsidRPr="00382ECD">
        <w:rPr>
          <w:rFonts w:eastAsia="Times New Roman"/>
        </w:rPr>
        <w:t>3.2. Collaboration and Partnership</w:t>
      </w:r>
      <w:bookmarkEnd w:id="4"/>
    </w:p>
    <w:p w14:paraId="7332AEC0" w14:textId="77777777" w:rsidR="00BA22DD" w:rsidRPr="00382ECD" w:rsidRDefault="00BA22DD" w:rsidP="00382ECD">
      <w:pPr>
        <w:numPr>
          <w:ilvl w:val="0"/>
          <w:numId w:val="3"/>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Community engagement will be pursued through partnerships with local organizations, government agencies, and other stakeholders to ensure the sustainability and relevance of service initiatives.</w:t>
      </w:r>
    </w:p>
    <w:p w14:paraId="7A66F1AF" w14:textId="77777777" w:rsidR="00BA22DD" w:rsidRPr="00382ECD" w:rsidRDefault="00BA22DD" w:rsidP="00382ECD">
      <w:pPr>
        <w:pStyle w:val="Heading2"/>
        <w:rPr>
          <w:rFonts w:eastAsia="Times New Roman"/>
        </w:rPr>
      </w:pPr>
      <w:bookmarkStart w:id="5" w:name="_Toc180961717"/>
      <w:r w:rsidRPr="00382ECD">
        <w:rPr>
          <w:rFonts w:eastAsia="Times New Roman"/>
        </w:rPr>
        <w:t>3.3. Inclusivity and Diversity</w:t>
      </w:r>
      <w:bookmarkEnd w:id="5"/>
    </w:p>
    <w:p w14:paraId="5A52C32E" w14:textId="77777777" w:rsidR="00BA22DD" w:rsidRPr="00382ECD" w:rsidRDefault="00BA22DD" w:rsidP="00382ECD">
      <w:pPr>
        <w:numPr>
          <w:ilvl w:val="0"/>
          <w:numId w:val="4"/>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The University values diversity and inclusivity in all community service activities, ensuring that programs are accessible to all members of the university community and reflect the needs of the community served.</w:t>
      </w:r>
    </w:p>
    <w:p w14:paraId="34169840" w14:textId="77777777" w:rsidR="00BA22DD" w:rsidRPr="00382ECD" w:rsidRDefault="00BA22DD" w:rsidP="00382ECD">
      <w:pPr>
        <w:pStyle w:val="Heading2"/>
        <w:rPr>
          <w:rFonts w:eastAsia="Times New Roman"/>
        </w:rPr>
      </w:pPr>
      <w:bookmarkStart w:id="6" w:name="_Toc180961718"/>
      <w:r w:rsidRPr="00382ECD">
        <w:rPr>
          <w:rFonts w:eastAsia="Times New Roman"/>
        </w:rPr>
        <w:lastRenderedPageBreak/>
        <w:t>3.4. Student-Centered Approach</w:t>
      </w:r>
      <w:bookmarkEnd w:id="6"/>
    </w:p>
    <w:p w14:paraId="61DB8F3D" w14:textId="77777777" w:rsidR="00BA22DD" w:rsidRPr="00382ECD" w:rsidRDefault="00BA22DD" w:rsidP="00382ECD">
      <w:pPr>
        <w:numPr>
          <w:ilvl w:val="0"/>
          <w:numId w:val="5"/>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Community service initiatives will be designed to enhance the educational experience of students, providing opportunities for hands-on learning, personal development, and skills enhancement.</w:t>
      </w:r>
    </w:p>
    <w:p w14:paraId="3F12F5A5" w14:textId="1977401D" w:rsidR="00BA22DD" w:rsidRPr="00382ECD" w:rsidRDefault="00BA22DD" w:rsidP="00BA22DD">
      <w:pPr>
        <w:spacing w:after="0" w:line="240" w:lineRule="auto"/>
        <w:rPr>
          <w:rFonts w:eastAsia="Times New Roman" w:cstheme="minorHAnsi"/>
          <w:sz w:val="24"/>
          <w:szCs w:val="24"/>
        </w:rPr>
      </w:pPr>
    </w:p>
    <w:p w14:paraId="556696A7" w14:textId="0EE34D23" w:rsidR="00BA22DD" w:rsidRDefault="00BA22DD" w:rsidP="00382ECD">
      <w:pPr>
        <w:pStyle w:val="Heading1"/>
        <w:rPr>
          <w:rFonts w:eastAsia="Times New Roman"/>
        </w:rPr>
      </w:pPr>
      <w:bookmarkStart w:id="7" w:name="_Toc180961719"/>
      <w:r w:rsidRPr="00382ECD">
        <w:rPr>
          <w:rFonts w:eastAsia="Times New Roman"/>
        </w:rPr>
        <w:t>4. Community Service/Engagement Procedures</w:t>
      </w:r>
      <w:bookmarkEnd w:id="7"/>
    </w:p>
    <w:p w14:paraId="4112FED2" w14:textId="77777777" w:rsidR="00382ECD" w:rsidRPr="00382ECD" w:rsidRDefault="00382ECD" w:rsidP="00382ECD"/>
    <w:p w14:paraId="5BAE6B18" w14:textId="77777777" w:rsidR="00BA22DD" w:rsidRPr="00382ECD" w:rsidRDefault="00BA22DD" w:rsidP="00382ECD">
      <w:pPr>
        <w:pStyle w:val="Heading2"/>
        <w:rPr>
          <w:rFonts w:eastAsia="Times New Roman"/>
        </w:rPr>
      </w:pPr>
      <w:bookmarkStart w:id="8" w:name="_Toc180961720"/>
      <w:r w:rsidRPr="00382ECD">
        <w:rPr>
          <w:rFonts w:eastAsia="Times New Roman"/>
        </w:rPr>
        <w:t>4.1. Planning and Development</w:t>
      </w:r>
      <w:bookmarkEnd w:id="8"/>
    </w:p>
    <w:p w14:paraId="4D4F5D2C" w14:textId="77777777" w:rsidR="00BA22DD" w:rsidRPr="00382ECD" w:rsidRDefault="00BA22DD" w:rsidP="00382ECD">
      <w:pPr>
        <w:numPr>
          <w:ilvl w:val="0"/>
          <w:numId w:val="6"/>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Identifying Community Needs</w:t>
      </w:r>
      <w:r w:rsidRPr="00382ECD">
        <w:rPr>
          <w:rFonts w:eastAsia="Times New Roman" w:cstheme="minorHAnsi"/>
          <w:sz w:val="24"/>
          <w:szCs w:val="24"/>
        </w:rPr>
        <w:t>: The University will conduct regular assessments of community needs to inform the development of service initiatives. Input will be gathered from community stakeholders, students, and faculty to ensure relevance and effectiveness.</w:t>
      </w:r>
    </w:p>
    <w:p w14:paraId="78B63893" w14:textId="77777777" w:rsidR="00BA22DD" w:rsidRPr="00382ECD" w:rsidRDefault="00BA22DD" w:rsidP="00382ECD">
      <w:pPr>
        <w:numPr>
          <w:ilvl w:val="0"/>
          <w:numId w:val="6"/>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Program Development</w:t>
      </w:r>
      <w:r w:rsidRPr="00382ECD">
        <w:rPr>
          <w:rFonts w:eastAsia="Times New Roman" w:cstheme="minorHAnsi"/>
          <w:sz w:val="24"/>
          <w:szCs w:val="24"/>
        </w:rPr>
        <w:t>: Community service programs will be developed in alignment with the University’s academic mission and strategic goals. Faculty, staff, and students will be encouraged to collaborate in the design and implementation of programs.</w:t>
      </w:r>
    </w:p>
    <w:p w14:paraId="01A54635" w14:textId="77777777" w:rsidR="00BA22DD" w:rsidRPr="00382ECD" w:rsidRDefault="00BA22DD" w:rsidP="00382ECD">
      <w:pPr>
        <w:pStyle w:val="Heading2"/>
        <w:rPr>
          <w:rFonts w:eastAsia="Times New Roman"/>
        </w:rPr>
      </w:pPr>
      <w:bookmarkStart w:id="9" w:name="_Toc180961721"/>
      <w:r w:rsidRPr="00382ECD">
        <w:rPr>
          <w:rFonts w:eastAsia="Times New Roman"/>
        </w:rPr>
        <w:t>4.2. Implementation</w:t>
      </w:r>
      <w:bookmarkEnd w:id="9"/>
    </w:p>
    <w:p w14:paraId="3C831AD3" w14:textId="77777777" w:rsidR="00BA22DD" w:rsidRPr="00382ECD" w:rsidRDefault="00BA22DD" w:rsidP="00382ECD">
      <w:pPr>
        <w:numPr>
          <w:ilvl w:val="0"/>
          <w:numId w:val="7"/>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Training and Support</w:t>
      </w:r>
      <w:r w:rsidRPr="00382ECD">
        <w:rPr>
          <w:rFonts w:eastAsia="Times New Roman" w:cstheme="minorHAnsi"/>
          <w:sz w:val="24"/>
          <w:szCs w:val="24"/>
        </w:rPr>
        <w:t>: The University will provide training and resources for students and faculty involved in community service projects, ensuring that they are well-prepared and supported in their roles.</w:t>
      </w:r>
    </w:p>
    <w:p w14:paraId="0CA8D3A5" w14:textId="77777777" w:rsidR="00BA22DD" w:rsidRPr="00382ECD" w:rsidRDefault="00BA22DD" w:rsidP="00382ECD">
      <w:pPr>
        <w:numPr>
          <w:ilvl w:val="0"/>
          <w:numId w:val="7"/>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Resource Allocation</w:t>
      </w:r>
      <w:r w:rsidRPr="00382ECD">
        <w:rPr>
          <w:rFonts w:eastAsia="Times New Roman" w:cstheme="minorHAnsi"/>
          <w:sz w:val="24"/>
          <w:szCs w:val="24"/>
        </w:rPr>
        <w:t>: Adequate resources, including funding, materials, and personnel, will be allocated to support community service initiatives effectively.</w:t>
      </w:r>
    </w:p>
    <w:p w14:paraId="43CC085B" w14:textId="77777777" w:rsidR="00BA22DD" w:rsidRPr="00382ECD" w:rsidRDefault="00BA22DD" w:rsidP="00382ECD">
      <w:pPr>
        <w:pStyle w:val="Heading2"/>
        <w:rPr>
          <w:rFonts w:eastAsia="Times New Roman"/>
        </w:rPr>
      </w:pPr>
      <w:bookmarkStart w:id="10" w:name="_Toc180961722"/>
      <w:r w:rsidRPr="00382ECD">
        <w:rPr>
          <w:rFonts w:eastAsia="Times New Roman"/>
        </w:rPr>
        <w:t>4.3. Evaluation and Assessment</w:t>
      </w:r>
      <w:bookmarkEnd w:id="10"/>
    </w:p>
    <w:p w14:paraId="0569535E" w14:textId="77777777" w:rsidR="00BA22DD" w:rsidRPr="00382ECD" w:rsidRDefault="00BA22DD" w:rsidP="00382ECD">
      <w:pPr>
        <w:numPr>
          <w:ilvl w:val="0"/>
          <w:numId w:val="8"/>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Monitoring and Evaluation</w:t>
      </w:r>
      <w:r w:rsidRPr="00382ECD">
        <w:rPr>
          <w:rFonts w:eastAsia="Times New Roman" w:cstheme="minorHAnsi"/>
          <w:sz w:val="24"/>
          <w:szCs w:val="24"/>
        </w:rPr>
        <w:t>: Community service programs will be regularly monitored and evaluated to assess their impact, effectiveness, and alignment with community needs. Evaluation metrics will include participation rates, feedback from community partners, and measurable outcomes related to community benefit.</w:t>
      </w:r>
    </w:p>
    <w:p w14:paraId="34AFFB7D" w14:textId="10C6A698" w:rsidR="00BA22DD" w:rsidRDefault="00BA22DD" w:rsidP="00382ECD">
      <w:pPr>
        <w:numPr>
          <w:ilvl w:val="0"/>
          <w:numId w:val="8"/>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Feedback Mechanisms</w:t>
      </w:r>
      <w:r w:rsidRPr="00382ECD">
        <w:rPr>
          <w:rFonts w:eastAsia="Times New Roman" w:cstheme="minorHAnsi"/>
          <w:sz w:val="24"/>
          <w:szCs w:val="24"/>
        </w:rPr>
        <w:t>: The University will establish mechanisms for collecting feedback from participants, community partners, and beneficiaries to inform program improvement and adaptation.</w:t>
      </w:r>
    </w:p>
    <w:p w14:paraId="2FF1C2B4" w14:textId="77777777" w:rsidR="00382ECD" w:rsidRPr="00382ECD" w:rsidRDefault="00382ECD" w:rsidP="00382ECD">
      <w:pPr>
        <w:spacing w:before="100" w:beforeAutospacing="1" w:after="100" w:afterAutospacing="1" w:line="240" w:lineRule="auto"/>
        <w:ind w:left="720"/>
        <w:jc w:val="both"/>
        <w:rPr>
          <w:rFonts w:eastAsia="Times New Roman" w:cstheme="minorHAnsi"/>
          <w:sz w:val="24"/>
          <w:szCs w:val="24"/>
        </w:rPr>
      </w:pPr>
    </w:p>
    <w:p w14:paraId="5E4FC90B" w14:textId="77777777" w:rsidR="00BA22DD" w:rsidRPr="00382ECD" w:rsidRDefault="00BA22DD" w:rsidP="00382ECD">
      <w:pPr>
        <w:pStyle w:val="Heading2"/>
        <w:rPr>
          <w:rFonts w:eastAsia="Times New Roman"/>
        </w:rPr>
      </w:pPr>
      <w:bookmarkStart w:id="11" w:name="_Toc180961723"/>
      <w:r w:rsidRPr="00382ECD">
        <w:rPr>
          <w:rFonts w:eastAsia="Times New Roman"/>
        </w:rPr>
        <w:lastRenderedPageBreak/>
        <w:t>4.4. Recognition and Incentives</w:t>
      </w:r>
      <w:bookmarkEnd w:id="11"/>
    </w:p>
    <w:p w14:paraId="35E094A5" w14:textId="77777777" w:rsidR="00BA22DD" w:rsidRPr="00382ECD" w:rsidRDefault="00BA22DD" w:rsidP="008D1975">
      <w:pPr>
        <w:numPr>
          <w:ilvl w:val="0"/>
          <w:numId w:val="9"/>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Acknowledging Contributions</w:t>
      </w:r>
      <w:r w:rsidRPr="00382ECD">
        <w:rPr>
          <w:rFonts w:eastAsia="Times New Roman" w:cstheme="minorHAnsi"/>
          <w:sz w:val="24"/>
          <w:szCs w:val="24"/>
        </w:rPr>
        <w:t>: The University will recognize and celebrate the contributions of students, faculty, and staff involved in community service. Awards, certificates, and other forms of recognition will be used to encourage participation and highlight achievements.</w:t>
      </w:r>
    </w:p>
    <w:p w14:paraId="03B35C21" w14:textId="354D81B2" w:rsidR="00BA22DD" w:rsidRDefault="00BA22DD" w:rsidP="008D1975">
      <w:pPr>
        <w:numPr>
          <w:ilvl w:val="0"/>
          <w:numId w:val="9"/>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b/>
          <w:bCs/>
          <w:sz w:val="24"/>
          <w:szCs w:val="24"/>
        </w:rPr>
        <w:t>Incentives for Participation</w:t>
      </w:r>
      <w:r w:rsidRPr="00382ECD">
        <w:rPr>
          <w:rFonts w:eastAsia="Times New Roman" w:cstheme="minorHAnsi"/>
          <w:sz w:val="24"/>
          <w:szCs w:val="24"/>
        </w:rPr>
        <w:t>: Programs will be established to incentivize student engagement in community service, including academic credit, scholarships, or recognition on transcripts.</w:t>
      </w:r>
    </w:p>
    <w:p w14:paraId="797567FF" w14:textId="77777777" w:rsidR="008D1975" w:rsidRPr="00382ECD" w:rsidRDefault="008D1975" w:rsidP="008D1975">
      <w:pPr>
        <w:spacing w:before="100" w:beforeAutospacing="1" w:after="100" w:afterAutospacing="1" w:line="240" w:lineRule="auto"/>
        <w:jc w:val="both"/>
        <w:rPr>
          <w:rFonts w:eastAsia="Times New Roman" w:cstheme="minorHAnsi"/>
          <w:sz w:val="24"/>
          <w:szCs w:val="24"/>
        </w:rPr>
      </w:pPr>
    </w:p>
    <w:p w14:paraId="079F1E91" w14:textId="77777777" w:rsidR="00BA22DD" w:rsidRPr="00382ECD" w:rsidRDefault="00BA22DD" w:rsidP="008D1975">
      <w:pPr>
        <w:pStyle w:val="Heading1"/>
        <w:rPr>
          <w:rFonts w:eastAsia="Times New Roman"/>
        </w:rPr>
      </w:pPr>
      <w:bookmarkStart w:id="12" w:name="_Toc180961724"/>
      <w:r w:rsidRPr="00382ECD">
        <w:rPr>
          <w:rFonts w:eastAsia="Times New Roman"/>
        </w:rPr>
        <w:t>5. Roles and Responsibilities</w:t>
      </w:r>
      <w:bookmarkEnd w:id="12"/>
    </w:p>
    <w:p w14:paraId="7E645E43" w14:textId="77777777" w:rsidR="00BA22DD" w:rsidRPr="00382ECD" w:rsidRDefault="00BA22DD" w:rsidP="008D1975">
      <w:pPr>
        <w:pStyle w:val="Heading2"/>
        <w:rPr>
          <w:rFonts w:eastAsia="Times New Roman"/>
        </w:rPr>
      </w:pPr>
      <w:bookmarkStart w:id="13" w:name="_Toc180961725"/>
      <w:r w:rsidRPr="00382ECD">
        <w:rPr>
          <w:rFonts w:eastAsia="Times New Roman"/>
        </w:rPr>
        <w:t>5.1. University Administration</w:t>
      </w:r>
      <w:bookmarkEnd w:id="13"/>
    </w:p>
    <w:p w14:paraId="6B813C61" w14:textId="77777777" w:rsidR="00BA22DD" w:rsidRPr="00382ECD" w:rsidRDefault="00BA22DD" w:rsidP="008D1975">
      <w:pPr>
        <w:numPr>
          <w:ilvl w:val="0"/>
          <w:numId w:val="10"/>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Provide overall leadership and support for community service initiatives, ensuring alignment with the University’s mission and strategic goals.</w:t>
      </w:r>
    </w:p>
    <w:p w14:paraId="57F641CF" w14:textId="77777777" w:rsidR="00BA22DD" w:rsidRPr="00382ECD" w:rsidRDefault="00BA22DD" w:rsidP="008D1975">
      <w:pPr>
        <w:pStyle w:val="Heading2"/>
        <w:rPr>
          <w:rFonts w:eastAsia="Times New Roman"/>
        </w:rPr>
      </w:pPr>
      <w:bookmarkStart w:id="14" w:name="_Toc180961726"/>
      <w:r w:rsidRPr="00382ECD">
        <w:rPr>
          <w:rFonts w:eastAsia="Times New Roman"/>
        </w:rPr>
        <w:t>5.2. Faculty and Staff</w:t>
      </w:r>
      <w:bookmarkEnd w:id="14"/>
    </w:p>
    <w:p w14:paraId="1D4783AF" w14:textId="77777777" w:rsidR="00BA22DD" w:rsidRPr="00382ECD" w:rsidRDefault="00BA22DD" w:rsidP="00BA22DD">
      <w:pPr>
        <w:numPr>
          <w:ilvl w:val="0"/>
          <w:numId w:val="11"/>
        </w:numPr>
        <w:spacing w:before="100" w:beforeAutospacing="1" w:after="100" w:afterAutospacing="1" w:line="240" w:lineRule="auto"/>
        <w:rPr>
          <w:rFonts w:eastAsia="Times New Roman" w:cstheme="minorHAnsi"/>
          <w:sz w:val="24"/>
          <w:szCs w:val="24"/>
        </w:rPr>
      </w:pPr>
      <w:r w:rsidRPr="00382ECD">
        <w:rPr>
          <w:rFonts w:eastAsia="Times New Roman" w:cstheme="minorHAnsi"/>
          <w:sz w:val="24"/>
          <w:szCs w:val="24"/>
        </w:rPr>
        <w:t>Encourage student involvement in community service through course integration, mentorship, and collaboration with community organizations.</w:t>
      </w:r>
    </w:p>
    <w:p w14:paraId="5B93901D" w14:textId="77777777" w:rsidR="00BA22DD" w:rsidRPr="00382ECD" w:rsidRDefault="00BA22DD" w:rsidP="008D1975">
      <w:pPr>
        <w:pStyle w:val="Heading2"/>
        <w:rPr>
          <w:rFonts w:eastAsia="Times New Roman"/>
        </w:rPr>
      </w:pPr>
      <w:bookmarkStart w:id="15" w:name="_Toc180961727"/>
      <w:r w:rsidRPr="00382ECD">
        <w:rPr>
          <w:rFonts w:eastAsia="Times New Roman"/>
        </w:rPr>
        <w:t>5.3. Students</w:t>
      </w:r>
      <w:bookmarkEnd w:id="15"/>
    </w:p>
    <w:p w14:paraId="470C8393" w14:textId="77777777" w:rsidR="00BA22DD" w:rsidRPr="00382ECD" w:rsidRDefault="00BA22DD" w:rsidP="00BA22DD">
      <w:pPr>
        <w:numPr>
          <w:ilvl w:val="0"/>
          <w:numId w:val="12"/>
        </w:numPr>
        <w:spacing w:before="100" w:beforeAutospacing="1" w:after="100" w:afterAutospacing="1" w:line="240" w:lineRule="auto"/>
        <w:rPr>
          <w:rFonts w:eastAsia="Times New Roman" w:cstheme="minorHAnsi"/>
          <w:sz w:val="24"/>
          <w:szCs w:val="24"/>
        </w:rPr>
      </w:pPr>
      <w:r w:rsidRPr="00382ECD">
        <w:rPr>
          <w:rFonts w:eastAsia="Times New Roman" w:cstheme="minorHAnsi"/>
          <w:sz w:val="24"/>
          <w:szCs w:val="24"/>
        </w:rPr>
        <w:t>Actively participate in community service initiatives, providing feedback and suggestions for improvement.</w:t>
      </w:r>
    </w:p>
    <w:p w14:paraId="46206C7A" w14:textId="77777777" w:rsidR="00BA22DD" w:rsidRPr="00382ECD" w:rsidRDefault="00BA22DD" w:rsidP="008D1975">
      <w:pPr>
        <w:pStyle w:val="Heading2"/>
        <w:rPr>
          <w:rFonts w:eastAsia="Times New Roman"/>
        </w:rPr>
      </w:pPr>
      <w:bookmarkStart w:id="16" w:name="_Toc180961728"/>
      <w:r w:rsidRPr="00382ECD">
        <w:rPr>
          <w:rFonts w:eastAsia="Times New Roman"/>
        </w:rPr>
        <w:t>5.4. Community Partners</w:t>
      </w:r>
      <w:bookmarkEnd w:id="16"/>
    </w:p>
    <w:p w14:paraId="64EE687F" w14:textId="77777777" w:rsidR="00BA22DD" w:rsidRPr="00382ECD" w:rsidRDefault="00BA22DD" w:rsidP="00BA22DD">
      <w:pPr>
        <w:numPr>
          <w:ilvl w:val="0"/>
          <w:numId w:val="13"/>
        </w:numPr>
        <w:spacing w:before="100" w:beforeAutospacing="1" w:after="100" w:afterAutospacing="1" w:line="240" w:lineRule="auto"/>
        <w:rPr>
          <w:rFonts w:eastAsia="Times New Roman" w:cstheme="minorHAnsi"/>
          <w:sz w:val="24"/>
          <w:szCs w:val="24"/>
        </w:rPr>
      </w:pPr>
      <w:r w:rsidRPr="00382ECD">
        <w:rPr>
          <w:rFonts w:eastAsia="Times New Roman" w:cstheme="minorHAnsi"/>
          <w:sz w:val="24"/>
          <w:szCs w:val="24"/>
        </w:rPr>
        <w:t>Collaborate with the University to identify needs, co-develop programs, and provide feedback on the effectiveness of service initiatives.</w:t>
      </w:r>
    </w:p>
    <w:p w14:paraId="292BCAB9" w14:textId="5E3F4ED9" w:rsidR="00BA22DD" w:rsidRPr="00382ECD" w:rsidRDefault="00BA22DD" w:rsidP="00BA22DD">
      <w:pPr>
        <w:spacing w:after="0" w:line="240" w:lineRule="auto"/>
        <w:rPr>
          <w:rFonts w:eastAsia="Times New Roman" w:cstheme="minorHAnsi"/>
          <w:sz w:val="24"/>
          <w:szCs w:val="24"/>
        </w:rPr>
      </w:pPr>
    </w:p>
    <w:p w14:paraId="100CD4FB" w14:textId="77777777" w:rsidR="00BA22DD" w:rsidRPr="00382ECD" w:rsidRDefault="00BA22DD" w:rsidP="008D1975">
      <w:pPr>
        <w:pStyle w:val="Heading1"/>
        <w:rPr>
          <w:rFonts w:eastAsia="Times New Roman"/>
        </w:rPr>
      </w:pPr>
      <w:bookmarkStart w:id="17" w:name="_Toc180961729"/>
      <w:r w:rsidRPr="00382ECD">
        <w:rPr>
          <w:rFonts w:eastAsia="Times New Roman"/>
        </w:rPr>
        <w:t>6. Continuous Improvement</w:t>
      </w:r>
      <w:bookmarkEnd w:id="17"/>
    </w:p>
    <w:p w14:paraId="57535662" w14:textId="77777777" w:rsidR="00BA22DD" w:rsidRPr="00382ECD" w:rsidRDefault="00BA22DD" w:rsidP="008D1975">
      <w:pPr>
        <w:pStyle w:val="Heading2"/>
        <w:rPr>
          <w:rFonts w:eastAsia="Times New Roman"/>
        </w:rPr>
      </w:pPr>
      <w:bookmarkStart w:id="18" w:name="_Toc180961730"/>
      <w:r w:rsidRPr="00382ECD">
        <w:rPr>
          <w:rFonts w:eastAsia="Times New Roman"/>
        </w:rPr>
        <w:t>6.1. Regular Review of Programs</w:t>
      </w:r>
      <w:bookmarkEnd w:id="18"/>
    </w:p>
    <w:p w14:paraId="3325C618" w14:textId="77777777" w:rsidR="00BA22DD" w:rsidRPr="00382ECD" w:rsidRDefault="00BA22DD" w:rsidP="008D1975">
      <w:pPr>
        <w:numPr>
          <w:ilvl w:val="0"/>
          <w:numId w:val="14"/>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Community service programs will be reviewed periodically to ensure they remain relevant and effective in addressing community needs. The University will adapt programs based on evaluation findings and feedback.</w:t>
      </w:r>
    </w:p>
    <w:p w14:paraId="4B2D4E0D" w14:textId="77777777" w:rsidR="00BA22DD" w:rsidRPr="00382ECD" w:rsidRDefault="00BA22DD" w:rsidP="008D1975">
      <w:pPr>
        <w:pStyle w:val="Heading2"/>
        <w:rPr>
          <w:rFonts w:eastAsia="Times New Roman"/>
        </w:rPr>
      </w:pPr>
      <w:bookmarkStart w:id="19" w:name="_Toc180961731"/>
      <w:r w:rsidRPr="00382ECD">
        <w:rPr>
          <w:rFonts w:eastAsia="Times New Roman"/>
        </w:rPr>
        <w:lastRenderedPageBreak/>
        <w:t>6.2. Best Practices</w:t>
      </w:r>
      <w:bookmarkEnd w:id="19"/>
    </w:p>
    <w:p w14:paraId="24181F91" w14:textId="77777777" w:rsidR="00BA22DD" w:rsidRPr="00382ECD" w:rsidRDefault="00BA22DD" w:rsidP="008D1975">
      <w:pPr>
        <w:numPr>
          <w:ilvl w:val="0"/>
          <w:numId w:val="15"/>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The University will stay informed of best practices in community engagement and service-learning, integrating new ideas and approaches into its programs.</w:t>
      </w:r>
    </w:p>
    <w:p w14:paraId="4C7FC528" w14:textId="77777777" w:rsidR="00BA22DD" w:rsidRPr="00382ECD" w:rsidRDefault="00BA22DD" w:rsidP="008D1975">
      <w:pPr>
        <w:pStyle w:val="Heading2"/>
        <w:rPr>
          <w:rFonts w:eastAsia="Times New Roman"/>
        </w:rPr>
      </w:pPr>
      <w:bookmarkStart w:id="20" w:name="_Toc180961732"/>
      <w:r w:rsidRPr="00382ECD">
        <w:rPr>
          <w:rFonts w:eastAsia="Times New Roman"/>
        </w:rPr>
        <w:t>6.3. Research and Innovation</w:t>
      </w:r>
      <w:bookmarkEnd w:id="20"/>
    </w:p>
    <w:p w14:paraId="5CBB744F" w14:textId="77777777" w:rsidR="00BA22DD" w:rsidRPr="00382ECD" w:rsidRDefault="00BA22DD" w:rsidP="008D1975">
      <w:pPr>
        <w:numPr>
          <w:ilvl w:val="0"/>
          <w:numId w:val="16"/>
        </w:num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The University will encourage research into community service practices and outcomes, fostering innovation and sharing successful models with the broader educational community.</w:t>
      </w:r>
    </w:p>
    <w:p w14:paraId="1E69E04E" w14:textId="3DC0B605" w:rsidR="00BA22DD" w:rsidRPr="00382ECD" w:rsidRDefault="00BA22DD" w:rsidP="00BA22DD">
      <w:pPr>
        <w:spacing w:after="0" w:line="240" w:lineRule="auto"/>
        <w:rPr>
          <w:rFonts w:eastAsia="Times New Roman" w:cstheme="minorHAnsi"/>
          <w:sz w:val="24"/>
          <w:szCs w:val="24"/>
        </w:rPr>
      </w:pPr>
    </w:p>
    <w:p w14:paraId="5ECECF80" w14:textId="77777777" w:rsidR="00BA22DD" w:rsidRPr="00382ECD" w:rsidRDefault="00BA22DD" w:rsidP="008D1975">
      <w:pPr>
        <w:pStyle w:val="Heading1"/>
        <w:rPr>
          <w:rFonts w:eastAsia="Times New Roman"/>
        </w:rPr>
      </w:pPr>
      <w:bookmarkStart w:id="21" w:name="_Toc180961733"/>
      <w:r w:rsidRPr="00382ECD">
        <w:rPr>
          <w:rFonts w:eastAsia="Times New Roman"/>
        </w:rPr>
        <w:t>7. Policy Review and Updates</w:t>
      </w:r>
      <w:bookmarkEnd w:id="21"/>
    </w:p>
    <w:p w14:paraId="3EFB400F" w14:textId="77777777" w:rsidR="00BA22DD" w:rsidRPr="00382ECD" w:rsidRDefault="00BA22DD" w:rsidP="008D1975">
      <w:p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This policy will be reviewed annually to ensure its continued relevance and effectiveness. Feedback from students, faculty, community partners, and other stakeholders will be considered in the review process.</w:t>
      </w:r>
    </w:p>
    <w:p w14:paraId="47D56221" w14:textId="2513B9D5" w:rsidR="00BA22DD" w:rsidRPr="00382ECD" w:rsidRDefault="00BA22DD" w:rsidP="00BA22DD">
      <w:pPr>
        <w:spacing w:after="0" w:line="240" w:lineRule="auto"/>
        <w:rPr>
          <w:rFonts w:eastAsia="Times New Roman" w:cstheme="minorHAnsi"/>
          <w:sz w:val="24"/>
          <w:szCs w:val="24"/>
        </w:rPr>
      </w:pPr>
    </w:p>
    <w:p w14:paraId="60226E4B" w14:textId="77777777" w:rsidR="00BA22DD" w:rsidRPr="00382ECD" w:rsidRDefault="00BA22DD" w:rsidP="008D1975">
      <w:pPr>
        <w:pStyle w:val="Heading1"/>
        <w:rPr>
          <w:rFonts w:eastAsia="Times New Roman"/>
        </w:rPr>
      </w:pPr>
      <w:bookmarkStart w:id="22" w:name="_Toc180961734"/>
      <w:r w:rsidRPr="00382ECD">
        <w:rPr>
          <w:rFonts w:eastAsia="Times New Roman"/>
        </w:rPr>
        <w:t>8. Conclusion</w:t>
      </w:r>
      <w:bookmarkEnd w:id="22"/>
    </w:p>
    <w:p w14:paraId="43FB0D7D" w14:textId="162827C4" w:rsidR="00EF5C56" w:rsidRPr="008D1975" w:rsidRDefault="00BA22DD" w:rsidP="008D1975">
      <w:pPr>
        <w:spacing w:before="100" w:beforeAutospacing="1" w:after="100" w:afterAutospacing="1" w:line="240" w:lineRule="auto"/>
        <w:jc w:val="both"/>
        <w:rPr>
          <w:rFonts w:eastAsia="Times New Roman" w:cstheme="minorHAnsi"/>
          <w:sz w:val="24"/>
          <w:szCs w:val="24"/>
        </w:rPr>
      </w:pPr>
      <w:r w:rsidRPr="00382ECD">
        <w:rPr>
          <w:rFonts w:eastAsia="Times New Roman" w:cstheme="minorHAnsi"/>
          <w:sz w:val="24"/>
          <w:szCs w:val="24"/>
        </w:rPr>
        <w:t>This Quality Assurance Policy for Community Service/Engagement underscores the University’s commitment to making meaningful contributions to the community while enriching the educational experience of its students. Through effective planning, implementation, and evaluation of community service initiatives, the University aims to foster a culture of civic responsibility and community engagement.</w:t>
      </w:r>
    </w:p>
    <w:sectPr w:rsidR="00EF5C56" w:rsidRPr="008D1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4A2"/>
    <w:multiLevelType w:val="multilevel"/>
    <w:tmpl w:val="3A2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D6C4B"/>
    <w:multiLevelType w:val="multilevel"/>
    <w:tmpl w:val="B172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605D4"/>
    <w:multiLevelType w:val="multilevel"/>
    <w:tmpl w:val="AC40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33480"/>
    <w:multiLevelType w:val="multilevel"/>
    <w:tmpl w:val="882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E3E5B"/>
    <w:multiLevelType w:val="multilevel"/>
    <w:tmpl w:val="CF4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918FF"/>
    <w:multiLevelType w:val="multilevel"/>
    <w:tmpl w:val="2DAE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948C0"/>
    <w:multiLevelType w:val="multilevel"/>
    <w:tmpl w:val="522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37F2F"/>
    <w:multiLevelType w:val="multilevel"/>
    <w:tmpl w:val="F0CC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0581C"/>
    <w:multiLevelType w:val="multilevel"/>
    <w:tmpl w:val="D970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C2385"/>
    <w:multiLevelType w:val="multilevel"/>
    <w:tmpl w:val="CCDC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66608"/>
    <w:multiLevelType w:val="multilevel"/>
    <w:tmpl w:val="0290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96053"/>
    <w:multiLevelType w:val="hybridMultilevel"/>
    <w:tmpl w:val="2948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60FAC"/>
    <w:multiLevelType w:val="multilevel"/>
    <w:tmpl w:val="E57A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253E1"/>
    <w:multiLevelType w:val="multilevel"/>
    <w:tmpl w:val="6D58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B3367"/>
    <w:multiLevelType w:val="multilevel"/>
    <w:tmpl w:val="7BF8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A7DA1"/>
    <w:multiLevelType w:val="multilevel"/>
    <w:tmpl w:val="B75E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B64B6"/>
    <w:multiLevelType w:val="multilevel"/>
    <w:tmpl w:val="EFC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90696">
    <w:abstractNumId w:val="5"/>
  </w:num>
  <w:num w:numId="2" w16cid:durableId="1702439722">
    <w:abstractNumId w:val="10"/>
  </w:num>
  <w:num w:numId="3" w16cid:durableId="667054085">
    <w:abstractNumId w:val="12"/>
  </w:num>
  <w:num w:numId="4" w16cid:durableId="1834905441">
    <w:abstractNumId w:val="15"/>
  </w:num>
  <w:num w:numId="5" w16cid:durableId="1762485222">
    <w:abstractNumId w:val="3"/>
  </w:num>
  <w:num w:numId="6" w16cid:durableId="2002393229">
    <w:abstractNumId w:val="14"/>
  </w:num>
  <w:num w:numId="7" w16cid:durableId="241914324">
    <w:abstractNumId w:val="4"/>
  </w:num>
  <w:num w:numId="8" w16cid:durableId="1177767600">
    <w:abstractNumId w:val="16"/>
  </w:num>
  <w:num w:numId="9" w16cid:durableId="2124766749">
    <w:abstractNumId w:val="1"/>
  </w:num>
  <w:num w:numId="10" w16cid:durableId="1463885581">
    <w:abstractNumId w:val="0"/>
  </w:num>
  <w:num w:numId="11" w16cid:durableId="1521697479">
    <w:abstractNumId w:val="6"/>
  </w:num>
  <w:num w:numId="12" w16cid:durableId="2118594132">
    <w:abstractNumId w:val="9"/>
  </w:num>
  <w:num w:numId="13" w16cid:durableId="1526945596">
    <w:abstractNumId w:val="8"/>
  </w:num>
  <w:num w:numId="14" w16cid:durableId="123350954">
    <w:abstractNumId w:val="7"/>
  </w:num>
  <w:num w:numId="15" w16cid:durableId="1945454872">
    <w:abstractNumId w:val="13"/>
  </w:num>
  <w:num w:numId="16" w16cid:durableId="363555406">
    <w:abstractNumId w:val="2"/>
  </w:num>
  <w:num w:numId="17" w16cid:durableId="1347825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DD"/>
    <w:rsid w:val="00022928"/>
    <w:rsid w:val="00027913"/>
    <w:rsid w:val="000D7AC4"/>
    <w:rsid w:val="000E0F9D"/>
    <w:rsid w:val="00232AD0"/>
    <w:rsid w:val="00382ECD"/>
    <w:rsid w:val="004861DC"/>
    <w:rsid w:val="005F21F6"/>
    <w:rsid w:val="006C10B0"/>
    <w:rsid w:val="008D1975"/>
    <w:rsid w:val="00A20AC1"/>
    <w:rsid w:val="00B222CF"/>
    <w:rsid w:val="00B54EC2"/>
    <w:rsid w:val="00BA22DD"/>
    <w:rsid w:val="00BB1F1A"/>
    <w:rsid w:val="00C568DC"/>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226B"/>
  <w15:docId w15:val="{00210A95-0EC5-413D-8CC3-926A0EB4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E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2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A22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22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22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22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A22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22DD"/>
    <w:rPr>
      <w:b/>
      <w:bCs/>
    </w:rPr>
  </w:style>
  <w:style w:type="paragraph" w:styleId="BodyText">
    <w:name w:val="Body Text"/>
    <w:basedOn w:val="Normal"/>
    <w:link w:val="BodyTextChar"/>
    <w:autoRedefine/>
    <w:uiPriority w:val="1"/>
    <w:qFormat/>
    <w:rsid w:val="00382ECD"/>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382ECD"/>
    <w:rPr>
      <w:rFonts w:cstheme="minorHAnsi"/>
      <w:b/>
      <w:sz w:val="48"/>
      <w:szCs w:val="48"/>
    </w:rPr>
  </w:style>
  <w:style w:type="paragraph" w:customStyle="1" w:styleId="TableParagraph">
    <w:name w:val="Table Paragraph"/>
    <w:basedOn w:val="Normal"/>
    <w:uiPriority w:val="1"/>
    <w:qFormat/>
    <w:rsid w:val="00382ECD"/>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382E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2ECD"/>
    <w:pPr>
      <w:outlineLvl w:val="9"/>
    </w:pPr>
  </w:style>
  <w:style w:type="paragraph" w:styleId="TOC1">
    <w:name w:val="toc 1"/>
    <w:basedOn w:val="Normal"/>
    <w:next w:val="Normal"/>
    <w:autoRedefine/>
    <w:uiPriority w:val="39"/>
    <w:unhideWhenUsed/>
    <w:rsid w:val="00382ECD"/>
    <w:pPr>
      <w:spacing w:after="100"/>
    </w:pPr>
  </w:style>
  <w:style w:type="paragraph" w:styleId="TOC3">
    <w:name w:val="toc 3"/>
    <w:basedOn w:val="Normal"/>
    <w:next w:val="Normal"/>
    <w:autoRedefine/>
    <w:uiPriority w:val="39"/>
    <w:unhideWhenUsed/>
    <w:rsid w:val="00382ECD"/>
    <w:pPr>
      <w:spacing w:after="100"/>
      <w:ind w:left="440"/>
    </w:pPr>
  </w:style>
  <w:style w:type="character" w:styleId="Hyperlink">
    <w:name w:val="Hyperlink"/>
    <w:basedOn w:val="DefaultParagraphFont"/>
    <w:uiPriority w:val="99"/>
    <w:unhideWhenUsed/>
    <w:rsid w:val="00382ECD"/>
    <w:rPr>
      <w:color w:val="0563C1" w:themeColor="hyperlink"/>
      <w:u w:val="single"/>
    </w:rPr>
  </w:style>
  <w:style w:type="character" w:customStyle="1" w:styleId="Heading2Char">
    <w:name w:val="Heading 2 Char"/>
    <w:basedOn w:val="DefaultParagraphFont"/>
    <w:link w:val="Heading2"/>
    <w:uiPriority w:val="9"/>
    <w:rsid w:val="00382EC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2ECD"/>
    <w:pPr>
      <w:ind w:left="720"/>
      <w:contextualSpacing/>
    </w:pPr>
  </w:style>
  <w:style w:type="paragraph" w:styleId="TOC2">
    <w:name w:val="toc 2"/>
    <w:basedOn w:val="Normal"/>
    <w:next w:val="Normal"/>
    <w:autoRedefine/>
    <w:uiPriority w:val="39"/>
    <w:unhideWhenUsed/>
    <w:rsid w:val="008D197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4719">
      <w:bodyDiv w:val="1"/>
      <w:marLeft w:val="0"/>
      <w:marRight w:val="0"/>
      <w:marTop w:val="0"/>
      <w:marBottom w:val="0"/>
      <w:divBdr>
        <w:top w:val="none" w:sz="0" w:space="0" w:color="auto"/>
        <w:left w:val="none" w:sz="0" w:space="0" w:color="auto"/>
        <w:bottom w:val="none" w:sz="0" w:space="0" w:color="auto"/>
        <w:right w:val="none" w:sz="0" w:space="0" w:color="auto"/>
      </w:divBdr>
      <w:divsChild>
        <w:div w:id="168836127">
          <w:marLeft w:val="0"/>
          <w:marRight w:val="0"/>
          <w:marTop w:val="0"/>
          <w:marBottom w:val="0"/>
          <w:divBdr>
            <w:top w:val="none" w:sz="0" w:space="0" w:color="auto"/>
            <w:left w:val="none" w:sz="0" w:space="0" w:color="auto"/>
            <w:bottom w:val="none" w:sz="0" w:space="0" w:color="auto"/>
            <w:right w:val="none" w:sz="0" w:space="0" w:color="auto"/>
          </w:divBdr>
          <w:divsChild>
            <w:div w:id="1989631677">
              <w:marLeft w:val="0"/>
              <w:marRight w:val="0"/>
              <w:marTop w:val="0"/>
              <w:marBottom w:val="0"/>
              <w:divBdr>
                <w:top w:val="none" w:sz="0" w:space="0" w:color="auto"/>
                <w:left w:val="none" w:sz="0" w:space="0" w:color="auto"/>
                <w:bottom w:val="none" w:sz="0" w:space="0" w:color="auto"/>
                <w:right w:val="none" w:sz="0" w:space="0" w:color="auto"/>
              </w:divBdr>
              <w:divsChild>
                <w:div w:id="579952089">
                  <w:marLeft w:val="0"/>
                  <w:marRight w:val="0"/>
                  <w:marTop w:val="0"/>
                  <w:marBottom w:val="0"/>
                  <w:divBdr>
                    <w:top w:val="none" w:sz="0" w:space="0" w:color="auto"/>
                    <w:left w:val="none" w:sz="0" w:space="0" w:color="auto"/>
                    <w:bottom w:val="none" w:sz="0" w:space="0" w:color="auto"/>
                    <w:right w:val="none" w:sz="0" w:space="0" w:color="auto"/>
                  </w:divBdr>
                  <w:divsChild>
                    <w:div w:id="1037512541">
                      <w:marLeft w:val="0"/>
                      <w:marRight w:val="0"/>
                      <w:marTop w:val="0"/>
                      <w:marBottom w:val="0"/>
                      <w:divBdr>
                        <w:top w:val="none" w:sz="0" w:space="0" w:color="auto"/>
                        <w:left w:val="none" w:sz="0" w:space="0" w:color="auto"/>
                        <w:bottom w:val="none" w:sz="0" w:space="0" w:color="auto"/>
                        <w:right w:val="none" w:sz="0" w:space="0" w:color="auto"/>
                      </w:divBdr>
                      <w:divsChild>
                        <w:div w:id="570313097">
                          <w:marLeft w:val="0"/>
                          <w:marRight w:val="0"/>
                          <w:marTop w:val="0"/>
                          <w:marBottom w:val="0"/>
                          <w:divBdr>
                            <w:top w:val="none" w:sz="0" w:space="0" w:color="auto"/>
                            <w:left w:val="none" w:sz="0" w:space="0" w:color="auto"/>
                            <w:bottom w:val="none" w:sz="0" w:space="0" w:color="auto"/>
                            <w:right w:val="none" w:sz="0" w:space="0" w:color="auto"/>
                          </w:divBdr>
                          <w:divsChild>
                            <w:div w:id="11860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AD9071-54D1-455C-B353-C6F5B2C5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3</cp:revision>
  <dcterms:created xsi:type="dcterms:W3CDTF">2024-10-24T15:01:00Z</dcterms:created>
  <dcterms:modified xsi:type="dcterms:W3CDTF">2024-10-31T09:05:00Z</dcterms:modified>
</cp:coreProperties>
</file>