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84D5" w14:textId="11AF3029" w:rsidR="00497542" w:rsidRPr="00E00AEB" w:rsidRDefault="00497542" w:rsidP="00497542">
      <w:pPr>
        <w:pStyle w:val="BodyText"/>
      </w:pPr>
      <w:r>
        <w:t>Resources and Facilities</w:t>
      </w:r>
      <w:r w:rsidRPr="00E00AEB">
        <w:t xml:space="preserve"> </w:t>
      </w:r>
      <w:r>
        <w:t xml:space="preserve">Draft </w:t>
      </w:r>
      <w:r w:rsidRPr="00E00AEB">
        <w:t>Quality Assurance</w:t>
      </w:r>
      <w:r>
        <w:t xml:space="preserve"> </w:t>
      </w:r>
      <w:r w:rsidRPr="00E00AEB">
        <w:t>Policy</w:t>
      </w:r>
    </w:p>
    <w:p w14:paraId="42E4A609" w14:textId="77777777" w:rsidR="00497542" w:rsidRPr="00E00AEB" w:rsidRDefault="00497542" w:rsidP="00497542">
      <w:pPr>
        <w:pStyle w:val="BodyText"/>
        <w:rPr>
          <w:sz w:val="20"/>
        </w:rPr>
      </w:pPr>
      <w:r w:rsidRPr="00E00AEB">
        <w:rPr>
          <w:noProof/>
        </w:rPr>
        <w:drawing>
          <wp:anchor distT="0" distB="0" distL="0" distR="0" simplePos="0" relativeHeight="251659264" behindDoc="1" locked="0" layoutInCell="1" allowOverlap="1" wp14:anchorId="17CB5AFD" wp14:editId="6F6E61E4">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8" cstate="print"/>
                    <a:stretch>
                      <a:fillRect/>
                    </a:stretch>
                  </pic:blipFill>
                  <pic:spPr>
                    <a:xfrm>
                      <a:off x="0" y="0"/>
                      <a:ext cx="1024945" cy="866775"/>
                    </a:xfrm>
                    <a:prstGeom prst="rect">
                      <a:avLst/>
                    </a:prstGeom>
                  </pic:spPr>
                </pic:pic>
              </a:graphicData>
            </a:graphic>
          </wp:anchor>
        </w:drawing>
      </w:r>
    </w:p>
    <w:p w14:paraId="58C28C1F" w14:textId="77777777" w:rsidR="00497542" w:rsidRPr="00E00AEB" w:rsidRDefault="00497542" w:rsidP="00497542">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497542" w:rsidRPr="00E00AEB" w14:paraId="25BDAEF5" w14:textId="77777777" w:rsidTr="00624F2A">
        <w:trPr>
          <w:trHeight w:val="419"/>
        </w:trPr>
        <w:tc>
          <w:tcPr>
            <w:tcW w:w="3937" w:type="dxa"/>
            <w:tcBorders>
              <w:right w:val="single" w:sz="4" w:space="0" w:color="000000"/>
            </w:tcBorders>
          </w:tcPr>
          <w:p w14:paraId="3A866DD5" w14:textId="77777777" w:rsidR="00497542" w:rsidRPr="00E00AEB" w:rsidRDefault="00497542" w:rsidP="00624F2A">
            <w:pPr>
              <w:pStyle w:val="TableParagraph"/>
              <w:spacing w:before="1"/>
              <w:ind w:left="3"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Executive</w:t>
            </w:r>
          </w:p>
        </w:tc>
        <w:tc>
          <w:tcPr>
            <w:tcW w:w="4030" w:type="dxa"/>
            <w:tcBorders>
              <w:left w:val="single" w:sz="4" w:space="0" w:color="000000"/>
            </w:tcBorders>
          </w:tcPr>
          <w:p w14:paraId="523065C9" w14:textId="77777777" w:rsidR="00497542" w:rsidRPr="00E00AEB" w:rsidRDefault="00497542" w:rsidP="00624F2A">
            <w:pPr>
              <w:pStyle w:val="TableParagraph"/>
              <w:spacing w:before="1"/>
              <w:ind w:left="126" w:right="11"/>
              <w:jc w:val="center"/>
              <w:rPr>
                <w:rFonts w:asciiTheme="minorHAnsi" w:hAnsiTheme="minorHAnsi" w:cstheme="minorHAnsi"/>
                <w:b/>
              </w:rPr>
            </w:pPr>
            <w:r w:rsidRPr="00E00AEB">
              <w:rPr>
                <w:rFonts w:asciiTheme="minorHAnsi" w:hAnsiTheme="minorHAnsi" w:cstheme="minorHAnsi"/>
                <w:b/>
              </w:rPr>
              <w:t>Vice</w:t>
            </w:r>
            <w:r w:rsidRPr="00E00AEB">
              <w:rPr>
                <w:rFonts w:asciiTheme="minorHAnsi" w:hAnsiTheme="minorHAnsi" w:cstheme="minorHAnsi"/>
                <w:b/>
                <w:spacing w:val="-7"/>
              </w:rPr>
              <w:t xml:space="preserve"> </w:t>
            </w:r>
            <w:r w:rsidRPr="00E00AEB">
              <w:rPr>
                <w:rFonts w:asciiTheme="minorHAnsi" w:hAnsiTheme="minorHAnsi" w:cstheme="minorHAnsi"/>
                <w:b/>
                <w:spacing w:val="-2"/>
              </w:rPr>
              <w:t>Chancellor</w:t>
            </w:r>
          </w:p>
        </w:tc>
      </w:tr>
      <w:tr w:rsidR="00497542" w:rsidRPr="00E00AEB" w14:paraId="702EBAC2" w14:textId="77777777" w:rsidTr="00624F2A">
        <w:trPr>
          <w:trHeight w:val="552"/>
        </w:trPr>
        <w:tc>
          <w:tcPr>
            <w:tcW w:w="3937" w:type="dxa"/>
            <w:tcBorders>
              <w:right w:val="single" w:sz="4" w:space="0" w:color="000000"/>
            </w:tcBorders>
          </w:tcPr>
          <w:p w14:paraId="78EDA5CC" w14:textId="77777777" w:rsidR="00497542" w:rsidRPr="00E00AEB" w:rsidRDefault="00497542" w:rsidP="00624F2A">
            <w:pPr>
              <w:pStyle w:val="TableParagraph"/>
              <w:spacing w:before="132"/>
              <w:ind w:left="5"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Division</w:t>
            </w:r>
          </w:p>
        </w:tc>
        <w:tc>
          <w:tcPr>
            <w:tcW w:w="4030" w:type="dxa"/>
            <w:tcBorders>
              <w:left w:val="single" w:sz="4" w:space="0" w:color="000000"/>
            </w:tcBorders>
          </w:tcPr>
          <w:p w14:paraId="4FFE772C" w14:textId="77777777" w:rsidR="00497542" w:rsidRPr="00E00AEB" w:rsidRDefault="00497542" w:rsidP="00624F2A">
            <w:pPr>
              <w:pStyle w:val="TableParagraph"/>
              <w:spacing w:before="132"/>
              <w:ind w:left="126" w:right="3"/>
              <w:jc w:val="center"/>
              <w:rPr>
                <w:rFonts w:asciiTheme="minorHAnsi" w:hAnsiTheme="minorHAnsi" w:cstheme="minorHAnsi"/>
                <w:b/>
              </w:rPr>
            </w:pPr>
            <w:r w:rsidRPr="00E00AEB">
              <w:rPr>
                <w:rFonts w:asciiTheme="minorHAnsi" w:hAnsiTheme="minorHAnsi" w:cstheme="minorHAnsi"/>
                <w:b/>
              </w:rPr>
              <w:t>Directorate</w:t>
            </w:r>
            <w:r w:rsidRPr="00E00AEB">
              <w:rPr>
                <w:rFonts w:asciiTheme="minorHAnsi" w:hAnsiTheme="minorHAnsi" w:cstheme="minorHAnsi"/>
                <w:b/>
                <w:spacing w:val="-7"/>
              </w:rPr>
              <w:t xml:space="preserve"> </w:t>
            </w:r>
            <w:r w:rsidRPr="00E00AEB">
              <w:rPr>
                <w:rFonts w:asciiTheme="minorHAnsi" w:hAnsiTheme="minorHAnsi" w:cstheme="minorHAnsi"/>
                <w:b/>
              </w:rPr>
              <w:t>of</w:t>
            </w:r>
            <w:r w:rsidRPr="00E00AEB">
              <w:rPr>
                <w:rFonts w:asciiTheme="minorHAnsi" w:hAnsiTheme="minorHAnsi" w:cstheme="minorHAnsi"/>
                <w:b/>
                <w:spacing w:val="-1"/>
              </w:rPr>
              <w:t xml:space="preserve"> </w:t>
            </w:r>
            <w:r w:rsidRPr="00E00AEB">
              <w:rPr>
                <w:rFonts w:asciiTheme="minorHAnsi" w:hAnsiTheme="minorHAnsi" w:cstheme="minorHAnsi"/>
                <w:b/>
              </w:rPr>
              <w:t>Quality</w:t>
            </w:r>
            <w:r w:rsidRPr="00E00AEB">
              <w:rPr>
                <w:rFonts w:asciiTheme="minorHAnsi" w:hAnsiTheme="minorHAnsi" w:cstheme="minorHAnsi"/>
                <w:b/>
                <w:spacing w:val="-4"/>
              </w:rPr>
              <w:t xml:space="preserve"> </w:t>
            </w:r>
            <w:r w:rsidRPr="00E00AEB">
              <w:rPr>
                <w:rFonts w:asciiTheme="minorHAnsi" w:hAnsiTheme="minorHAnsi" w:cstheme="minorHAnsi"/>
                <w:b/>
                <w:spacing w:val="-2"/>
              </w:rPr>
              <w:t>Assurance</w:t>
            </w:r>
          </w:p>
        </w:tc>
      </w:tr>
      <w:tr w:rsidR="00497542" w:rsidRPr="00E00AEB" w14:paraId="3976B970" w14:textId="77777777" w:rsidTr="00624F2A">
        <w:trPr>
          <w:trHeight w:val="552"/>
        </w:trPr>
        <w:tc>
          <w:tcPr>
            <w:tcW w:w="3937" w:type="dxa"/>
            <w:tcBorders>
              <w:right w:val="single" w:sz="4" w:space="0" w:color="000000"/>
            </w:tcBorders>
          </w:tcPr>
          <w:p w14:paraId="4BBF9445" w14:textId="77777777" w:rsidR="00497542" w:rsidRPr="00E00AEB" w:rsidRDefault="00497542" w:rsidP="00624F2A">
            <w:pPr>
              <w:pStyle w:val="TableParagraph"/>
              <w:spacing w:before="134"/>
              <w:ind w:left="9" w:right="208"/>
              <w:jc w:val="center"/>
              <w:rPr>
                <w:rFonts w:asciiTheme="minorHAnsi" w:hAnsiTheme="minorHAnsi" w:cstheme="minorHAnsi"/>
                <w:b/>
              </w:rPr>
            </w:pPr>
            <w:r w:rsidRPr="00E00AEB">
              <w:rPr>
                <w:rFonts w:asciiTheme="minorHAnsi" w:hAnsiTheme="minorHAnsi" w:cstheme="minorHAnsi"/>
                <w:b/>
              </w:rPr>
              <w:t xml:space="preserve">Approved </w:t>
            </w:r>
            <w:r w:rsidRPr="00E00AEB">
              <w:rPr>
                <w:rFonts w:asciiTheme="minorHAnsi" w:hAnsiTheme="minorHAnsi" w:cstheme="minorHAnsi"/>
                <w:b/>
                <w:spacing w:val="-5"/>
              </w:rPr>
              <w:t>By</w:t>
            </w:r>
          </w:p>
        </w:tc>
        <w:tc>
          <w:tcPr>
            <w:tcW w:w="4030" w:type="dxa"/>
            <w:tcBorders>
              <w:left w:val="single" w:sz="4" w:space="0" w:color="000000"/>
            </w:tcBorders>
          </w:tcPr>
          <w:p w14:paraId="0FA7F535" w14:textId="1776446A" w:rsidR="00497542" w:rsidRPr="00E00AEB" w:rsidRDefault="00497542" w:rsidP="00624F2A">
            <w:pPr>
              <w:pStyle w:val="TableParagraph"/>
              <w:spacing w:before="134"/>
              <w:ind w:left="126"/>
              <w:jc w:val="center"/>
              <w:rPr>
                <w:rFonts w:asciiTheme="minorHAnsi" w:hAnsiTheme="minorHAnsi" w:cstheme="minorHAnsi"/>
                <w:b/>
              </w:rPr>
            </w:pPr>
          </w:p>
        </w:tc>
      </w:tr>
      <w:tr w:rsidR="00497542" w:rsidRPr="00E00AEB" w14:paraId="677FF594" w14:textId="77777777" w:rsidTr="00624F2A">
        <w:trPr>
          <w:trHeight w:val="550"/>
        </w:trPr>
        <w:tc>
          <w:tcPr>
            <w:tcW w:w="3937" w:type="dxa"/>
            <w:tcBorders>
              <w:right w:val="single" w:sz="4" w:space="0" w:color="000000"/>
            </w:tcBorders>
          </w:tcPr>
          <w:p w14:paraId="1AB4C698" w14:textId="77777777" w:rsidR="00497542" w:rsidRPr="00E00AEB" w:rsidRDefault="00497542" w:rsidP="00624F2A">
            <w:pPr>
              <w:pStyle w:val="TableParagraph"/>
              <w:spacing w:before="132"/>
              <w:ind w:left="7" w:right="208"/>
              <w:jc w:val="center"/>
              <w:rPr>
                <w:rFonts w:asciiTheme="minorHAnsi" w:hAnsiTheme="minorHAnsi" w:cstheme="minorHAnsi"/>
                <w:b/>
              </w:rPr>
            </w:pPr>
            <w:r w:rsidRPr="00E00AEB">
              <w:rPr>
                <w:rFonts w:asciiTheme="minorHAnsi" w:hAnsiTheme="minorHAnsi" w:cstheme="minorHAnsi"/>
                <w:b/>
              </w:rPr>
              <w:t>Date</w:t>
            </w:r>
            <w:r w:rsidRPr="00E00AEB">
              <w:rPr>
                <w:rFonts w:asciiTheme="minorHAnsi" w:hAnsiTheme="minorHAnsi" w:cstheme="minorHAnsi"/>
                <w:b/>
                <w:spacing w:val="-1"/>
              </w:rPr>
              <w:t xml:space="preserve"> </w:t>
            </w:r>
            <w:r w:rsidRPr="00E00AEB">
              <w:rPr>
                <w:rFonts w:asciiTheme="minorHAnsi" w:hAnsiTheme="minorHAnsi" w:cstheme="minorHAnsi"/>
                <w:b/>
                <w:spacing w:val="-2"/>
              </w:rPr>
              <w:t>Approved</w:t>
            </w:r>
          </w:p>
        </w:tc>
        <w:tc>
          <w:tcPr>
            <w:tcW w:w="4030" w:type="dxa"/>
            <w:tcBorders>
              <w:left w:val="single" w:sz="4" w:space="0" w:color="000000"/>
            </w:tcBorders>
          </w:tcPr>
          <w:p w14:paraId="243384F2" w14:textId="77777777" w:rsidR="00497542" w:rsidRPr="00E00AEB" w:rsidRDefault="00497542" w:rsidP="00624F2A">
            <w:pPr>
              <w:pStyle w:val="TableParagraph"/>
              <w:rPr>
                <w:rFonts w:asciiTheme="minorHAnsi" w:hAnsiTheme="minorHAnsi" w:cstheme="minorHAnsi"/>
              </w:rPr>
            </w:pPr>
          </w:p>
        </w:tc>
      </w:tr>
      <w:tr w:rsidR="00497542" w:rsidRPr="00E00AEB" w14:paraId="3F899021" w14:textId="77777777" w:rsidTr="00624F2A">
        <w:trPr>
          <w:trHeight w:val="552"/>
        </w:trPr>
        <w:tc>
          <w:tcPr>
            <w:tcW w:w="3937" w:type="dxa"/>
            <w:tcBorders>
              <w:right w:val="single" w:sz="4" w:space="0" w:color="000000"/>
            </w:tcBorders>
          </w:tcPr>
          <w:p w14:paraId="32FD1B6A" w14:textId="77777777" w:rsidR="00497542" w:rsidRPr="00E00AEB" w:rsidRDefault="00497542" w:rsidP="00624F2A">
            <w:pPr>
              <w:pStyle w:val="TableParagraph"/>
              <w:spacing w:before="132"/>
              <w:ind w:right="208"/>
              <w:jc w:val="center"/>
              <w:rPr>
                <w:rFonts w:asciiTheme="minorHAnsi" w:hAnsiTheme="minorHAnsi" w:cstheme="minorHAnsi"/>
                <w:b/>
              </w:rPr>
            </w:pPr>
            <w:r w:rsidRPr="00E00AEB">
              <w:rPr>
                <w:rFonts w:asciiTheme="minorHAnsi" w:hAnsiTheme="minorHAnsi" w:cstheme="minorHAnsi"/>
                <w:b/>
              </w:rPr>
              <w:t>Review</w:t>
            </w:r>
            <w:r w:rsidRPr="00E00AEB">
              <w:rPr>
                <w:rFonts w:asciiTheme="minorHAnsi" w:hAnsiTheme="minorHAnsi" w:cstheme="minorHAnsi"/>
                <w:b/>
                <w:spacing w:val="-11"/>
              </w:rPr>
              <w:t xml:space="preserve"> </w:t>
            </w:r>
            <w:r w:rsidRPr="00E00AEB">
              <w:rPr>
                <w:rFonts w:asciiTheme="minorHAnsi" w:hAnsiTheme="minorHAnsi" w:cstheme="minorHAnsi"/>
                <w:b/>
                <w:spacing w:val="-4"/>
              </w:rPr>
              <w:t>Date</w:t>
            </w:r>
          </w:p>
        </w:tc>
        <w:tc>
          <w:tcPr>
            <w:tcW w:w="4030" w:type="dxa"/>
            <w:tcBorders>
              <w:left w:val="single" w:sz="4" w:space="0" w:color="000000"/>
            </w:tcBorders>
          </w:tcPr>
          <w:p w14:paraId="33117385" w14:textId="77777777" w:rsidR="00497542" w:rsidRPr="00E00AEB" w:rsidRDefault="00497542" w:rsidP="00624F2A">
            <w:pPr>
              <w:pStyle w:val="TableParagraph"/>
              <w:spacing w:before="132"/>
              <w:ind w:left="126" w:right="5"/>
              <w:jc w:val="center"/>
              <w:rPr>
                <w:rFonts w:asciiTheme="minorHAnsi" w:hAnsiTheme="minorHAnsi" w:cstheme="minorHAnsi"/>
                <w:b/>
              </w:rPr>
            </w:pPr>
            <w:r w:rsidRPr="00CA6519">
              <w:rPr>
                <w:rFonts w:asciiTheme="minorHAnsi" w:hAnsiTheme="minorHAnsi" w:cstheme="minorHAnsi"/>
                <w:b/>
              </w:rPr>
              <w:t>After</w:t>
            </w:r>
            <w:r w:rsidRPr="00CA6519">
              <w:rPr>
                <w:rFonts w:asciiTheme="minorHAnsi" w:hAnsiTheme="minorHAnsi" w:cstheme="minorHAnsi"/>
                <w:b/>
                <w:spacing w:val="-4"/>
              </w:rPr>
              <w:t xml:space="preserve"> </w:t>
            </w:r>
            <w:r w:rsidRPr="00CA6519">
              <w:rPr>
                <w:rFonts w:asciiTheme="minorHAnsi" w:hAnsiTheme="minorHAnsi" w:cstheme="minorHAnsi"/>
                <w:b/>
              </w:rPr>
              <w:t>every</w:t>
            </w:r>
            <w:r w:rsidRPr="00CA6519">
              <w:rPr>
                <w:rFonts w:asciiTheme="minorHAnsi" w:hAnsiTheme="minorHAnsi" w:cstheme="minorHAnsi"/>
                <w:b/>
                <w:spacing w:val="-1"/>
              </w:rPr>
              <w:t xml:space="preserve"> </w:t>
            </w:r>
            <w:r w:rsidRPr="00CA6519">
              <w:rPr>
                <w:rFonts w:asciiTheme="minorHAnsi" w:hAnsiTheme="minorHAnsi" w:cstheme="minorHAnsi"/>
                <w:b/>
              </w:rPr>
              <w:t>four</w:t>
            </w:r>
            <w:r w:rsidRPr="00CA6519">
              <w:rPr>
                <w:rFonts w:asciiTheme="minorHAnsi" w:hAnsiTheme="minorHAnsi" w:cstheme="minorHAnsi"/>
                <w:b/>
                <w:spacing w:val="-4"/>
              </w:rPr>
              <w:t xml:space="preserve"> </w:t>
            </w:r>
            <w:r w:rsidRPr="00CA6519">
              <w:rPr>
                <w:rFonts w:asciiTheme="minorHAnsi" w:hAnsiTheme="minorHAnsi" w:cstheme="minorHAnsi"/>
                <w:b/>
              </w:rPr>
              <w:t>(4)</w:t>
            </w:r>
            <w:r w:rsidRPr="00CA6519">
              <w:rPr>
                <w:rFonts w:asciiTheme="minorHAnsi" w:hAnsiTheme="minorHAnsi" w:cstheme="minorHAnsi"/>
                <w:b/>
                <w:spacing w:val="-1"/>
              </w:rPr>
              <w:t xml:space="preserve"> </w:t>
            </w:r>
            <w:r w:rsidRPr="00CA6519">
              <w:rPr>
                <w:rFonts w:asciiTheme="minorHAnsi" w:hAnsiTheme="minorHAnsi" w:cstheme="minorHAnsi"/>
                <w:b/>
                <w:spacing w:val="-4"/>
              </w:rPr>
              <w:t>years</w:t>
            </w:r>
          </w:p>
        </w:tc>
      </w:tr>
      <w:tr w:rsidR="00497542" w:rsidRPr="00E00AEB" w14:paraId="67663639" w14:textId="77777777" w:rsidTr="00624F2A">
        <w:trPr>
          <w:trHeight w:val="2894"/>
        </w:trPr>
        <w:tc>
          <w:tcPr>
            <w:tcW w:w="3937" w:type="dxa"/>
            <w:tcBorders>
              <w:right w:val="single" w:sz="4" w:space="0" w:color="000000"/>
            </w:tcBorders>
          </w:tcPr>
          <w:p w14:paraId="1B6B2186" w14:textId="77777777" w:rsidR="00497542" w:rsidRPr="00E00AEB" w:rsidRDefault="00497542" w:rsidP="00624F2A">
            <w:pPr>
              <w:pStyle w:val="TableParagraph"/>
              <w:spacing w:before="134"/>
              <w:ind w:right="208"/>
              <w:jc w:val="center"/>
              <w:rPr>
                <w:rFonts w:asciiTheme="minorHAnsi" w:hAnsiTheme="minorHAnsi" w:cstheme="minorHAnsi"/>
                <w:b/>
              </w:rPr>
            </w:pPr>
            <w:r w:rsidRPr="00E00AEB">
              <w:rPr>
                <w:rFonts w:asciiTheme="minorHAnsi" w:hAnsiTheme="minorHAnsi" w:cstheme="minorHAnsi"/>
                <w:b/>
              </w:rPr>
              <w:t>Stakeholders</w:t>
            </w:r>
            <w:r w:rsidRPr="00E00AEB">
              <w:rPr>
                <w:rFonts w:asciiTheme="minorHAnsi" w:hAnsiTheme="minorHAnsi" w:cstheme="minorHAnsi"/>
                <w:b/>
                <w:spacing w:val="-2"/>
              </w:rPr>
              <w:t xml:space="preserve"> </w:t>
            </w:r>
            <w:r w:rsidRPr="00E00AEB">
              <w:rPr>
                <w:rFonts w:asciiTheme="minorHAnsi" w:hAnsiTheme="minorHAnsi" w:cstheme="minorHAnsi"/>
                <w:b/>
              </w:rPr>
              <w:t>affected</w:t>
            </w:r>
            <w:r w:rsidRPr="00E00AEB">
              <w:rPr>
                <w:rFonts w:asciiTheme="minorHAnsi" w:hAnsiTheme="minorHAnsi" w:cstheme="minorHAnsi"/>
                <w:b/>
                <w:spacing w:val="-2"/>
              </w:rPr>
              <w:t xml:space="preserve"> </w:t>
            </w:r>
            <w:r w:rsidRPr="00E00AEB">
              <w:rPr>
                <w:rFonts w:asciiTheme="minorHAnsi" w:hAnsiTheme="minorHAnsi" w:cstheme="minorHAnsi"/>
                <w:b/>
              </w:rPr>
              <w:t>by</w:t>
            </w:r>
            <w:r w:rsidRPr="00E00AEB">
              <w:rPr>
                <w:rFonts w:asciiTheme="minorHAnsi" w:hAnsiTheme="minorHAnsi" w:cstheme="minorHAnsi"/>
                <w:b/>
                <w:spacing w:val="-2"/>
              </w:rPr>
              <w:t xml:space="preserve"> </w:t>
            </w:r>
            <w:r w:rsidRPr="00E00AEB">
              <w:rPr>
                <w:rFonts w:asciiTheme="minorHAnsi" w:hAnsiTheme="minorHAnsi" w:cstheme="minorHAnsi"/>
                <w:b/>
              </w:rPr>
              <w:t>this</w:t>
            </w:r>
            <w:r w:rsidRPr="00E00AEB">
              <w:rPr>
                <w:rFonts w:asciiTheme="minorHAnsi" w:hAnsiTheme="minorHAnsi" w:cstheme="minorHAnsi"/>
                <w:b/>
                <w:spacing w:val="-1"/>
              </w:rPr>
              <w:t xml:space="preserve"> </w:t>
            </w:r>
            <w:r w:rsidRPr="00E00AEB">
              <w:rPr>
                <w:rFonts w:asciiTheme="minorHAnsi" w:hAnsiTheme="minorHAnsi" w:cstheme="minorHAnsi"/>
                <w:b/>
                <w:spacing w:val="-2"/>
              </w:rPr>
              <w:t>policy</w:t>
            </w:r>
          </w:p>
        </w:tc>
        <w:tc>
          <w:tcPr>
            <w:tcW w:w="4030" w:type="dxa"/>
            <w:tcBorders>
              <w:left w:val="single" w:sz="4" w:space="0" w:color="000000"/>
            </w:tcBorders>
          </w:tcPr>
          <w:p w14:paraId="77F1DBDB" w14:textId="77777777" w:rsidR="00497542" w:rsidRPr="00E00AEB" w:rsidRDefault="00497542" w:rsidP="00624F2A">
            <w:pPr>
              <w:pStyle w:val="TableParagraph"/>
              <w:spacing w:before="134" w:line="480" w:lineRule="auto"/>
              <w:ind w:left="169" w:right="48" w:firstLine="4"/>
              <w:jc w:val="center"/>
              <w:rPr>
                <w:rFonts w:asciiTheme="minorHAnsi" w:hAnsiTheme="minorHAnsi" w:cstheme="minorHAnsi"/>
                <w:b/>
              </w:rPr>
            </w:pPr>
            <w:r w:rsidRPr="00E00AEB">
              <w:rPr>
                <w:rFonts w:asciiTheme="minorHAnsi" w:hAnsiTheme="minorHAnsi" w:cstheme="minorHAnsi"/>
                <w:b/>
              </w:rPr>
              <w:t>All</w:t>
            </w:r>
            <w:r w:rsidRPr="00E00AEB">
              <w:rPr>
                <w:rFonts w:asciiTheme="minorHAnsi" w:hAnsiTheme="minorHAnsi" w:cstheme="minorHAnsi"/>
                <w:b/>
                <w:spacing w:val="-6"/>
              </w:rPr>
              <w:t xml:space="preserve"> </w:t>
            </w:r>
            <w:r w:rsidRPr="00E00AEB">
              <w:rPr>
                <w:rFonts w:asciiTheme="minorHAnsi" w:hAnsiTheme="minorHAnsi" w:cstheme="minorHAnsi"/>
                <w:b/>
              </w:rPr>
              <w:t>categories</w:t>
            </w:r>
            <w:r w:rsidRPr="00E00AEB">
              <w:rPr>
                <w:rFonts w:asciiTheme="minorHAnsi" w:hAnsiTheme="minorHAnsi" w:cstheme="minorHAnsi"/>
                <w:b/>
                <w:spacing w:val="-4"/>
              </w:rPr>
              <w:t xml:space="preserve"> </w:t>
            </w:r>
            <w:r w:rsidRPr="00E00AEB">
              <w:rPr>
                <w:rFonts w:asciiTheme="minorHAnsi" w:hAnsiTheme="minorHAnsi" w:cstheme="minorHAnsi"/>
                <w:b/>
              </w:rPr>
              <w:t>of</w:t>
            </w:r>
            <w:r w:rsidRPr="00E00AEB">
              <w:rPr>
                <w:rFonts w:asciiTheme="minorHAnsi" w:hAnsiTheme="minorHAnsi" w:cstheme="minorHAnsi"/>
                <w:b/>
                <w:spacing w:val="-4"/>
              </w:rPr>
              <w:t xml:space="preserve"> </w:t>
            </w:r>
            <w:r w:rsidRPr="00E00AEB">
              <w:rPr>
                <w:rFonts w:asciiTheme="minorHAnsi" w:hAnsiTheme="minorHAnsi" w:cstheme="minorHAnsi"/>
                <w:b/>
              </w:rPr>
              <w:t>staff</w:t>
            </w:r>
            <w:r w:rsidRPr="00E00AEB">
              <w:rPr>
                <w:rFonts w:asciiTheme="minorHAnsi" w:hAnsiTheme="minorHAnsi" w:cstheme="minorHAnsi"/>
                <w:b/>
                <w:spacing w:val="-5"/>
              </w:rPr>
              <w:t xml:space="preserve"> </w:t>
            </w:r>
            <w:r w:rsidRPr="00E00AEB">
              <w:rPr>
                <w:rFonts w:asciiTheme="minorHAnsi" w:hAnsiTheme="minorHAnsi" w:cstheme="minorHAnsi"/>
                <w:b/>
              </w:rPr>
              <w:t>and</w:t>
            </w:r>
            <w:r w:rsidRPr="00E00AEB">
              <w:rPr>
                <w:rFonts w:asciiTheme="minorHAnsi" w:hAnsiTheme="minorHAnsi" w:cstheme="minorHAnsi"/>
                <w:b/>
                <w:spacing w:val="-4"/>
              </w:rPr>
              <w:t xml:space="preserve"> </w:t>
            </w:r>
            <w:r w:rsidRPr="00E00AEB">
              <w:rPr>
                <w:rFonts w:asciiTheme="minorHAnsi" w:hAnsiTheme="minorHAnsi" w:cstheme="minorHAnsi"/>
                <w:b/>
              </w:rPr>
              <w:t>students</w:t>
            </w:r>
            <w:r w:rsidRPr="00E00AEB">
              <w:rPr>
                <w:rFonts w:asciiTheme="minorHAnsi" w:hAnsiTheme="minorHAnsi" w:cstheme="minorHAnsi"/>
                <w:b/>
                <w:spacing w:val="-4"/>
              </w:rPr>
              <w:t xml:space="preserve"> </w:t>
            </w:r>
            <w:r w:rsidRPr="00E00AEB">
              <w:rPr>
                <w:rFonts w:asciiTheme="minorHAnsi" w:hAnsiTheme="minorHAnsi" w:cstheme="minorHAnsi"/>
                <w:b/>
              </w:rPr>
              <w:t>of University of Nigeria Nsukka as well as</w:t>
            </w:r>
            <w:r w:rsidRPr="00E00AEB">
              <w:rPr>
                <w:rFonts w:asciiTheme="minorHAnsi" w:hAnsiTheme="minorHAnsi" w:cstheme="minorHAnsi"/>
                <w:b/>
                <w:spacing w:val="-8"/>
              </w:rPr>
              <w:t xml:space="preserve"> </w:t>
            </w:r>
            <w:r w:rsidRPr="00E00AEB">
              <w:rPr>
                <w:rFonts w:asciiTheme="minorHAnsi" w:hAnsiTheme="minorHAnsi" w:cstheme="minorHAnsi"/>
                <w:b/>
              </w:rPr>
              <w:t>their</w:t>
            </w:r>
            <w:r w:rsidRPr="00E00AEB">
              <w:rPr>
                <w:rFonts w:asciiTheme="minorHAnsi" w:hAnsiTheme="minorHAnsi" w:cstheme="minorHAnsi"/>
                <w:b/>
                <w:spacing w:val="-10"/>
              </w:rPr>
              <w:t xml:space="preserve"> </w:t>
            </w:r>
            <w:r w:rsidRPr="00E00AEB">
              <w:rPr>
                <w:rFonts w:asciiTheme="minorHAnsi" w:hAnsiTheme="minorHAnsi" w:cstheme="minorHAnsi"/>
                <w:b/>
              </w:rPr>
              <w:t>partners</w:t>
            </w:r>
            <w:r w:rsidRPr="00E00AEB">
              <w:rPr>
                <w:rFonts w:asciiTheme="minorHAnsi" w:hAnsiTheme="minorHAnsi" w:cstheme="minorHAnsi"/>
                <w:b/>
                <w:spacing w:val="-7"/>
              </w:rPr>
              <w:t xml:space="preserve"> </w:t>
            </w:r>
            <w:r w:rsidRPr="00E00AEB">
              <w:rPr>
                <w:rFonts w:asciiTheme="minorHAnsi" w:hAnsiTheme="minorHAnsi" w:cstheme="minorHAnsi"/>
                <w:b/>
              </w:rPr>
              <w:t>(JAMB,</w:t>
            </w:r>
            <w:r w:rsidRPr="00E00AEB">
              <w:rPr>
                <w:rFonts w:asciiTheme="minorHAnsi" w:hAnsiTheme="minorHAnsi" w:cstheme="minorHAnsi"/>
                <w:b/>
                <w:spacing w:val="-9"/>
              </w:rPr>
              <w:t xml:space="preserve"> </w:t>
            </w:r>
            <w:r w:rsidRPr="00E00AEB">
              <w:rPr>
                <w:rFonts w:asciiTheme="minorHAnsi" w:hAnsiTheme="minorHAnsi" w:cstheme="minorHAnsi"/>
                <w:b/>
              </w:rPr>
              <w:t>ALUMINI, FGN and local and International</w:t>
            </w:r>
          </w:p>
          <w:p w14:paraId="148C5A05" w14:textId="77777777" w:rsidR="00497542" w:rsidRPr="00E00AEB" w:rsidRDefault="00497542" w:rsidP="00624F2A">
            <w:pPr>
              <w:pStyle w:val="TableParagraph"/>
              <w:spacing w:line="274" w:lineRule="exact"/>
              <w:ind w:left="126" w:right="6"/>
              <w:jc w:val="center"/>
              <w:rPr>
                <w:rFonts w:asciiTheme="minorHAnsi" w:hAnsiTheme="minorHAnsi" w:cstheme="minorHAnsi"/>
                <w:b/>
              </w:rPr>
            </w:pPr>
            <w:r w:rsidRPr="00E00AEB">
              <w:rPr>
                <w:rFonts w:asciiTheme="minorHAnsi" w:hAnsiTheme="minorHAnsi" w:cstheme="minorHAnsi"/>
                <w:b/>
                <w:spacing w:val="-2"/>
              </w:rPr>
              <w:t>collaborators)</w:t>
            </w:r>
          </w:p>
        </w:tc>
      </w:tr>
    </w:tbl>
    <w:p w14:paraId="573B22B0" w14:textId="77777777" w:rsidR="00497542" w:rsidRPr="00E00AEB" w:rsidRDefault="00497542" w:rsidP="00497542">
      <w:pPr>
        <w:rPr>
          <w:rFonts w:cstheme="minorHAnsi"/>
        </w:rPr>
      </w:pPr>
    </w:p>
    <w:p w14:paraId="12AEAF0E" w14:textId="77777777" w:rsidR="00497542" w:rsidRPr="00E00AEB" w:rsidRDefault="00497542" w:rsidP="00497542">
      <w:pPr>
        <w:rPr>
          <w:rFonts w:cstheme="minorHAnsi"/>
        </w:rPr>
      </w:pPr>
    </w:p>
    <w:p w14:paraId="527E5BE4" w14:textId="77777777" w:rsidR="00497542" w:rsidRPr="00E00AEB" w:rsidRDefault="00497542" w:rsidP="00497542">
      <w:pPr>
        <w:rPr>
          <w:rFonts w:cstheme="minorHAnsi"/>
        </w:rPr>
      </w:pPr>
    </w:p>
    <w:p w14:paraId="54980F52" w14:textId="77777777" w:rsidR="00497542" w:rsidRPr="00E00AEB" w:rsidRDefault="00497542" w:rsidP="00497542">
      <w:pPr>
        <w:rPr>
          <w:rFonts w:cstheme="minorHAnsi"/>
        </w:rPr>
      </w:pPr>
    </w:p>
    <w:p w14:paraId="6890A04B" w14:textId="77777777" w:rsidR="00497542" w:rsidRPr="00E00AEB" w:rsidRDefault="00497542" w:rsidP="00497542">
      <w:pPr>
        <w:rPr>
          <w:rFonts w:cstheme="minorHAnsi"/>
        </w:rPr>
      </w:pPr>
    </w:p>
    <w:p w14:paraId="0F623F7B" w14:textId="77777777" w:rsidR="00497542" w:rsidRPr="00E00AEB" w:rsidRDefault="00497542" w:rsidP="00497542">
      <w:pPr>
        <w:rPr>
          <w:rFonts w:cstheme="minorHAnsi"/>
        </w:rPr>
      </w:pPr>
    </w:p>
    <w:p w14:paraId="472A0A2E" w14:textId="77777777" w:rsidR="00497542" w:rsidRPr="00E00AEB" w:rsidRDefault="00497542" w:rsidP="00497542">
      <w:pPr>
        <w:rPr>
          <w:rFonts w:cstheme="minorHAnsi"/>
        </w:rPr>
      </w:pPr>
    </w:p>
    <w:p w14:paraId="32D55EE7" w14:textId="77777777" w:rsidR="00497542" w:rsidRPr="00E00AEB" w:rsidRDefault="00497542" w:rsidP="00497542">
      <w:pPr>
        <w:rPr>
          <w:rFonts w:cstheme="minorHAnsi"/>
        </w:rPr>
      </w:pPr>
    </w:p>
    <w:p w14:paraId="3EA695BD" w14:textId="77777777" w:rsidR="00497542" w:rsidRPr="00E00AEB" w:rsidRDefault="00497542" w:rsidP="00497542">
      <w:pPr>
        <w:rPr>
          <w:rFonts w:cstheme="minorHAnsi"/>
        </w:rPr>
      </w:pPr>
    </w:p>
    <w:sdt>
      <w:sdtPr>
        <w:rPr>
          <w:rFonts w:asciiTheme="minorHAnsi" w:eastAsiaTheme="minorHAnsi" w:hAnsiTheme="minorHAnsi" w:cstheme="minorBidi"/>
          <w:color w:val="auto"/>
          <w:sz w:val="22"/>
          <w:szCs w:val="22"/>
        </w:rPr>
        <w:id w:val="-951385646"/>
        <w:docPartObj>
          <w:docPartGallery w:val="Table of Contents"/>
          <w:docPartUnique/>
        </w:docPartObj>
      </w:sdtPr>
      <w:sdtEndPr>
        <w:rPr>
          <w:b/>
          <w:bCs/>
          <w:noProof/>
        </w:rPr>
      </w:sdtEndPr>
      <w:sdtContent>
        <w:p w14:paraId="54825009" w14:textId="2FB8E7EE" w:rsidR="00497542" w:rsidRDefault="00497542">
          <w:pPr>
            <w:pStyle w:val="TOCHeading"/>
          </w:pPr>
          <w:r>
            <w:t>Table of Contents</w:t>
          </w:r>
        </w:p>
        <w:p w14:paraId="559AABC3" w14:textId="1839277B" w:rsidR="001B6432" w:rsidRDefault="00497542">
          <w:pPr>
            <w:pStyle w:val="TOC1"/>
            <w:tabs>
              <w:tab w:val="right" w:leader="dot" w:pos="9350"/>
            </w:tabs>
            <w:rPr>
              <w:noProof/>
            </w:rPr>
          </w:pPr>
          <w:r>
            <w:fldChar w:fldCharType="begin"/>
          </w:r>
          <w:r>
            <w:instrText xml:space="preserve"> TOC \o "1-3" \h \z \u </w:instrText>
          </w:r>
          <w:r>
            <w:fldChar w:fldCharType="separate"/>
          </w:r>
          <w:hyperlink w:anchor="_Toc180967732" w:history="1">
            <w:r w:rsidR="001B6432" w:rsidRPr="00B224E1">
              <w:rPr>
                <w:rStyle w:val="Hyperlink"/>
                <w:rFonts w:eastAsia="Times New Roman"/>
                <w:noProof/>
              </w:rPr>
              <w:t>1. Introduction</w:t>
            </w:r>
            <w:r w:rsidR="001B6432">
              <w:rPr>
                <w:noProof/>
                <w:webHidden/>
              </w:rPr>
              <w:tab/>
            </w:r>
            <w:r w:rsidR="001B6432">
              <w:rPr>
                <w:noProof/>
                <w:webHidden/>
              </w:rPr>
              <w:fldChar w:fldCharType="begin"/>
            </w:r>
            <w:r w:rsidR="001B6432">
              <w:rPr>
                <w:noProof/>
                <w:webHidden/>
              </w:rPr>
              <w:instrText xml:space="preserve"> PAGEREF _Toc180967732 \h </w:instrText>
            </w:r>
            <w:r w:rsidR="001B6432">
              <w:rPr>
                <w:noProof/>
                <w:webHidden/>
              </w:rPr>
            </w:r>
            <w:r w:rsidR="001B6432">
              <w:rPr>
                <w:noProof/>
                <w:webHidden/>
              </w:rPr>
              <w:fldChar w:fldCharType="separate"/>
            </w:r>
            <w:r w:rsidR="001B6432">
              <w:rPr>
                <w:noProof/>
                <w:webHidden/>
              </w:rPr>
              <w:t>3</w:t>
            </w:r>
            <w:r w:rsidR="001B6432">
              <w:rPr>
                <w:noProof/>
                <w:webHidden/>
              </w:rPr>
              <w:fldChar w:fldCharType="end"/>
            </w:r>
          </w:hyperlink>
        </w:p>
        <w:p w14:paraId="29BC4DB4" w14:textId="0F149CCC" w:rsidR="001B6432" w:rsidRDefault="00000000">
          <w:pPr>
            <w:pStyle w:val="TOC1"/>
            <w:tabs>
              <w:tab w:val="right" w:leader="dot" w:pos="9350"/>
            </w:tabs>
            <w:rPr>
              <w:noProof/>
            </w:rPr>
          </w:pPr>
          <w:hyperlink w:anchor="_Toc180967733" w:history="1">
            <w:r w:rsidR="001B6432" w:rsidRPr="00B224E1">
              <w:rPr>
                <w:rStyle w:val="Hyperlink"/>
                <w:rFonts w:eastAsia="Times New Roman"/>
                <w:noProof/>
              </w:rPr>
              <w:t>2. Objectives</w:t>
            </w:r>
            <w:r w:rsidR="001B6432">
              <w:rPr>
                <w:noProof/>
                <w:webHidden/>
              </w:rPr>
              <w:tab/>
            </w:r>
            <w:r w:rsidR="001B6432">
              <w:rPr>
                <w:noProof/>
                <w:webHidden/>
              </w:rPr>
              <w:fldChar w:fldCharType="begin"/>
            </w:r>
            <w:r w:rsidR="001B6432">
              <w:rPr>
                <w:noProof/>
                <w:webHidden/>
              </w:rPr>
              <w:instrText xml:space="preserve"> PAGEREF _Toc180967733 \h </w:instrText>
            </w:r>
            <w:r w:rsidR="001B6432">
              <w:rPr>
                <w:noProof/>
                <w:webHidden/>
              </w:rPr>
            </w:r>
            <w:r w:rsidR="001B6432">
              <w:rPr>
                <w:noProof/>
                <w:webHidden/>
              </w:rPr>
              <w:fldChar w:fldCharType="separate"/>
            </w:r>
            <w:r w:rsidR="001B6432">
              <w:rPr>
                <w:noProof/>
                <w:webHidden/>
              </w:rPr>
              <w:t>3</w:t>
            </w:r>
            <w:r w:rsidR="001B6432">
              <w:rPr>
                <w:noProof/>
                <w:webHidden/>
              </w:rPr>
              <w:fldChar w:fldCharType="end"/>
            </w:r>
          </w:hyperlink>
        </w:p>
        <w:p w14:paraId="37FDC184" w14:textId="1424F15D" w:rsidR="001B6432" w:rsidRDefault="00000000">
          <w:pPr>
            <w:pStyle w:val="TOC1"/>
            <w:tabs>
              <w:tab w:val="right" w:leader="dot" w:pos="9350"/>
            </w:tabs>
            <w:rPr>
              <w:noProof/>
            </w:rPr>
          </w:pPr>
          <w:hyperlink w:anchor="_Toc180967734" w:history="1">
            <w:r w:rsidR="001B6432" w:rsidRPr="00B224E1">
              <w:rPr>
                <w:rStyle w:val="Hyperlink"/>
                <w:rFonts w:eastAsia="Times New Roman"/>
                <w:noProof/>
              </w:rPr>
              <w:t>3. Resources and Facilities Covered</w:t>
            </w:r>
            <w:r w:rsidR="001B6432">
              <w:rPr>
                <w:noProof/>
                <w:webHidden/>
              </w:rPr>
              <w:tab/>
            </w:r>
            <w:r w:rsidR="001B6432">
              <w:rPr>
                <w:noProof/>
                <w:webHidden/>
              </w:rPr>
              <w:fldChar w:fldCharType="begin"/>
            </w:r>
            <w:r w:rsidR="001B6432">
              <w:rPr>
                <w:noProof/>
                <w:webHidden/>
              </w:rPr>
              <w:instrText xml:space="preserve"> PAGEREF _Toc180967734 \h </w:instrText>
            </w:r>
            <w:r w:rsidR="001B6432">
              <w:rPr>
                <w:noProof/>
                <w:webHidden/>
              </w:rPr>
            </w:r>
            <w:r w:rsidR="001B6432">
              <w:rPr>
                <w:noProof/>
                <w:webHidden/>
              </w:rPr>
              <w:fldChar w:fldCharType="separate"/>
            </w:r>
            <w:r w:rsidR="001B6432">
              <w:rPr>
                <w:noProof/>
                <w:webHidden/>
              </w:rPr>
              <w:t>3</w:t>
            </w:r>
            <w:r w:rsidR="001B6432">
              <w:rPr>
                <w:noProof/>
                <w:webHidden/>
              </w:rPr>
              <w:fldChar w:fldCharType="end"/>
            </w:r>
          </w:hyperlink>
        </w:p>
        <w:p w14:paraId="1CF5B79A" w14:textId="412F4518" w:rsidR="001B6432" w:rsidRDefault="00000000">
          <w:pPr>
            <w:pStyle w:val="TOC1"/>
            <w:tabs>
              <w:tab w:val="right" w:leader="dot" w:pos="9350"/>
            </w:tabs>
            <w:rPr>
              <w:noProof/>
            </w:rPr>
          </w:pPr>
          <w:hyperlink w:anchor="_Toc180967735" w:history="1">
            <w:r w:rsidR="001B6432" w:rsidRPr="00B224E1">
              <w:rPr>
                <w:rStyle w:val="Hyperlink"/>
                <w:rFonts w:eastAsia="Times New Roman"/>
                <w:noProof/>
              </w:rPr>
              <w:t>4. Principles</w:t>
            </w:r>
            <w:r w:rsidR="001B6432">
              <w:rPr>
                <w:noProof/>
                <w:webHidden/>
              </w:rPr>
              <w:tab/>
            </w:r>
            <w:r w:rsidR="001B6432">
              <w:rPr>
                <w:noProof/>
                <w:webHidden/>
              </w:rPr>
              <w:fldChar w:fldCharType="begin"/>
            </w:r>
            <w:r w:rsidR="001B6432">
              <w:rPr>
                <w:noProof/>
                <w:webHidden/>
              </w:rPr>
              <w:instrText xml:space="preserve"> PAGEREF _Toc180967735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19914FD6" w14:textId="5C185B5E" w:rsidR="001B6432" w:rsidRDefault="00000000">
          <w:pPr>
            <w:pStyle w:val="TOC2"/>
            <w:tabs>
              <w:tab w:val="right" w:leader="dot" w:pos="9350"/>
            </w:tabs>
            <w:rPr>
              <w:noProof/>
            </w:rPr>
          </w:pPr>
          <w:hyperlink w:anchor="_Toc180967736" w:history="1">
            <w:r w:rsidR="001B6432" w:rsidRPr="00B224E1">
              <w:rPr>
                <w:rStyle w:val="Hyperlink"/>
                <w:rFonts w:eastAsia="Times New Roman"/>
                <w:noProof/>
              </w:rPr>
              <w:t>4.1. Quality Standards</w:t>
            </w:r>
            <w:r w:rsidR="001B6432">
              <w:rPr>
                <w:noProof/>
                <w:webHidden/>
              </w:rPr>
              <w:tab/>
            </w:r>
            <w:r w:rsidR="001B6432">
              <w:rPr>
                <w:noProof/>
                <w:webHidden/>
              </w:rPr>
              <w:fldChar w:fldCharType="begin"/>
            </w:r>
            <w:r w:rsidR="001B6432">
              <w:rPr>
                <w:noProof/>
                <w:webHidden/>
              </w:rPr>
              <w:instrText xml:space="preserve"> PAGEREF _Toc180967736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76B083C1" w14:textId="5682ED02" w:rsidR="001B6432" w:rsidRDefault="00000000">
          <w:pPr>
            <w:pStyle w:val="TOC2"/>
            <w:tabs>
              <w:tab w:val="right" w:leader="dot" w:pos="9350"/>
            </w:tabs>
            <w:rPr>
              <w:noProof/>
            </w:rPr>
          </w:pPr>
          <w:hyperlink w:anchor="_Toc180967737" w:history="1">
            <w:r w:rsidR="001B6432" w:rsidRPr="00B224E1">
              <w:rPr>
                <w:rStyle w:val="Hyperlink"/>
                <w:rFonts w:eastAsia="Times New Roman"/>
                <w:noProof/>
              </w:rPr>
              <w:t>4.2. Accessibility and Inclusivity</w:t>
            </w:r>
            <w:r w:rsidR="001B6432">
              <w:rPr>
                <w:noProof/>
                <w:webHidden/>
              </w:rPr>
              <w:tab/>
            </w:r>
            <w:r w:rsidR="001B6432">
              <w:rPr>
                <w:noProof/>
                <w:webHidden/>
              </w:rPr>
              <w:fldChar w:fldCharType="begin"/>
            </w:r>
            <w:r w:rsidR="001B6432">
              <w:rPr>
                <w:noProof/>
                <w:webHidden/>
              </w:rPr>
              <w:instrText xml:space="preserve"> PAGEREF _Toc180967737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6CBB7A19" w14:textId="7546AC60" w:rsidR="001B6432" w:rsidRDefault="00000000">
          <w:pPr>
            <w:pStyle w:val="TOC2"/>
            <w:tabs>
              <w:tab w:val="right" w:leader="dot" w:pos="9350"/>
            </w:tabs>
            <w:rPr>
              <w:noProof/>
            </w:rPr>
          </w:pPr>
          <w:hyperlink w:anchor="_Toc180967738" w:history="1">
            <w:r w:rsidR="001B6432" w:rsidRPr="00B224E1">
              <w:rPr>
                <w:rStyle w:val="Hyperlink"/>
                <w:rFonts w:eastAsia="Times New Roman"/>
                <w:noProof/>
              </w:rPr>
              <w:t>4.3. Sustainability</w:t>
            </w:r>
            <w:r w:rsidR="001B6432">
              <w:rPr>
                <w:noProof/>
                <w:webHidden/>
              </w:rPr>
              <w:tab/>
            </w:r>
            <w:r w:rsidR="001B6432">
              <w:rPr>
                <w:noProof/>
                <w:webHidden/>
              </w:rPr>
              <w:fldChar w:fldCharType="begin"/>
            </w:r>
            <w:r w:rsidR="001B6432">
              <w:rPr>
                <w:noProof/>
                <w:webHidden/>
              </w:rPr>
              <w:instrText xml:space="preserve"> PAGEREF _Toc180967738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6F47FC01" w14:textId="55E4B66E" w:rsidR="001B6432" w:rsidRDefault="00000000">
          <w:pPr>
            <w:pStyle w:val="TOC2"/>
            <w:tabs>
              <w:tab w:val="right" w:leader="dot" w:pos="9350"/>
            </w:tabs>
            <w:rPr>
              <w:noProof/>
            </w:rPr>
          </w:pPr>
          <w:hyperlink w:anchor="_Toc180967739" w:history="1">
            <w:r w:rsidR="001B6432" w:rsidRPr="00B224E1">
              <w:rPr>
                <w:rStyle w:val="Hyperlink"/>
                <w:rFonts w:eastAsia="Times New Roman"/>
                <w:noProof/>
              </w:rPr>
              <w:t>4.4. Continuous Improvement</w:t>
            </w:r>
            <w:r w:rsidR="001B6432">
              <w:rPr>
                <w:noProof/>
                <w:webHidden/>
              </w:rPr>
              <w:tab/>
            </w:r>
            <w:r w:rsidR="001B6432">
              <w:rPr>
                <w:noProof/>
                <w:webHidden/>
              </w:rPr>
              <w:fldChar w:fldCharType="begin"/>
            </w:r>
            <w:r w:rsidR="001B6432">
              <w:rPr>
                <w:noProof/>
                <w:webHidden/>
              </w:rPr>
              <w:instrText xml:space="preserve"> PAGEREF _Toc180967739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379B93FF" w14:textId="0AF13C21" w:rsidR="001B6432" w:rsidRDefault="00000000">
          <w:pPr>
            <w:pStyle w:val="TOC1"/>
            <w:tabs>
              <w:tab w:val="right" w:leader="dot" w:pos="9350"/>
            </w:tabs>
            <w:rPr>
              <w:noProof/>
            </w:rPr>
          </w:pPr>
          <w:hyperlink w:anchor="_Toc180967740" w:history="1">
            <w:r w:rsidR="001B6432" w:rsidRPr="00B224E1">
              <w:rPr>
                <w:rStyle w:val="Hyperlink"/>
                <w:rFonts w:eastAsia="Times New Roman"/>
                <w:noProof/>
              </w:rPr>
              <w:t>5. Procedures for Quality Assurance of Resources and Facilities</w:t>
            </w:r>
            <w:r w:rsidR="001B6432">
              <w:rPr>
                <w:noProof/>
                <w:webHidden/>
              </w:rPr>
              <w:tab/>
            </w:r>
            <w:r w:rsidR="001B6432">
              <w:rPr>
                <w:noProof/>
                <w:webHidden/>
              </w:rPr>
              <w:fldChar w:fldCharType="begin"/>
            </w:r>
            <w:r w:rsidR="001B6432">
              <w:rPr>
                <w:noProof/>
                <w:webHidden/>
              </w:rPr>
              <w:instrText xml:space="preserve"> PAGEREF _Toc180967740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66896B2F" w14:textId="67047D7D" w:rsidR="001B6432" w:rsidRDefault="00000000">
          <w:pPr>
            <w:pStyle w:val="TOC2"/>
            <w:tabs>
              <w:tab w:val="right" w:leader="dot" w:pos="9350"/>
            </w:tabs>
            <w:rPr>
              <w:noProof/>
            </w:rPr>
          </w:pPr>
          <w:hyperlink w:anchor="_Toc180967741" w:history="1">
            <w:r w:rsidR="001B6432" w:rsidRPr="00B224E1">
              <w:rPr>
                <w:rStyle w:val="Hyperlink"/>
                <w:rFonts w:eastAsia="Times New Roman"/>
                <w:noProof/>
              </w:rPr>
              <w:t>5.1. Regular Audits and Reviews</w:t>
            </w:r>
            <w:r w:rsidR="001B6432">
              <w:rPr>
                <w:noProof/>
                <w:webHidden/>
              </w:rPr>
              <w:tab/>
            </w:r>
            <w:r w:rsidR="001B6432">
              <w:rPr>
                <w:noProof/>
                <w:webHidden/>
              </w:rPr>
              <w:fldChar w:fldCharType="begin"/>
            </w:r>
            <w:r w:rsidR="001B6432">
              <w:rPr>
                <w:noProof/>
                <w:webHidden/>
              </w:rPr>
              <w:instrText xml:space="preserve"> PAGEREF _Toc180967741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40E1EA34" w14:textId="2857A56F" w:rsidR="001B6432" w:rsidRDefault="00000000">
          <w:pPr>
            <w:pStyle w:val="TOC2"/>
            <w:tabs>
              <w:tab w:val="right" w:leader="dot" w:pos="9350"/>
            </w:tabs>
            <w:rPr>
              <w:noProof/>
            </w:rPr>
          </w:pPr>
          <w:hyperlink w:anchor="_Toc180967742" w:history="1">
            <w:r w:rsidR="001B6432" w:rsidRPr="00B224E1">
              <w:rPr>
                <w:rStyle w:val="Hyperlink"/>
                <w:rFonts w:eastAsia="Times New Roman"/>
                <w:noProof/>
              </w:rPr>
              <w:t>5.2. Maintenance and Upgrades</w:t>
            </w:r>
            <w:r w:rsidR="001B6432">
              <w:rPr>
                <w:noProof/>
                <w:webHidden/>
              </w:rPr>
              <w:tab/>
            </w:r>
            <w:r w:rsidR="001B6432">
              <w:rPr>
                <w:noProof/>
                <w:webHidden/>
              </w:rPr>
              <w:fldChar w:fldCharType="begin"/>
            </w:r>
            <w:r w:rsidR="001B6432">
              <w:rPr>
                <w:noProof/>
                <w:webHidden/>
              </w:rPr>
              <w:instrText xml:space="preserve"> PAGEREF _Toc180967742 \h </w:instrText>
            </w:r>
            <w:r w:rsidR="001B6432">
              <w:rPr>
                <w:noProof/>
                <w:webHidden/>
              </w:rPr>
            </w:r>
            <w:r w:rsidR="001B6432">
              <w:rPr>
                <w:noProof/>
                <w:webHidden/>
              </w:rPr>
              <w:fldChar w:fldCharType="separate"/>
            </w:r>
            <w:r w:rsidR="001B6432">
              <w:rPr>
                <w:noProof/>
                <w:webHidden/>
              </w:rPr>
              <w:t>4</w:t>
            </w:r>
            <w:r w:rsidR="001B6432">
              <w:rPr>
                <w:noProof/>
                <w:webHidden/>
              </w:rPr>
              <w:fldChar w:fldCharType="end"/>
            </w:r>
          </w:hyperlink>
        </w:p>
        <w:p w14:paraId="35E29798" w14:textId="0C869F89" w:rsidR="001B6432" w:rsidRDefault="00000000">
          <w:pPr>
            <w:pStyle w:val="TOC2"/>
            <w:tabs>
              <w:tab w:val="right" w:leader="dot" w:pos="9350"/>
            </w:tabs>
            <w:rPr>
              <w:noProof/>
            </w:rPr>
          </w:pPr>
          <w:hyperlink w:anchor="_Toc180967743" w:history="1">
            <w:r w:rsidR="001B6432" w:rsidRPr="00B224E1">
              <w:rPr>
                <w:rStyle w:val="Hyperlink"/>
                <w:rFonts w:eastAsia="Times New Roman"/>
                <w:noProof/>
              </w:rPr>
              <w:t>5.3. Feedback Mechanisms</w:t>
            </w:r>
            <w:r w:rsidR="001B6432">
              <w:rPr>
                <w:noProof/>
                <w:webHidden/>
              </w:rPr>
              <w:tab/>
            </w:r>
            <w:r w:rsidR="001B6432">
              <w:rPr>
                <w:noProof/>
                <w:webHidden/>
              </w:rPr>
              <w:fldChar w:fldCharType="begin"/>
            </w:r>
            <w:r w:rsidR="001B6432">
              <w:rPr>
                <w:noProof/>
                <w:webHidden/>
              </w:rPr>
              <w:instrText xml:space="preserve"> PAGEREF _Toc180967743 \h </w:instrText>
            </w:r>
            <w:r w:rsidR="001B6432">
              <w:rPr>
                <w:noProof/>
                <w:webHidden/>
              </w:rPr>
            </w:r>
            <w:r w:rsidR="001B6432">
              <w:rPr>
                <w:noProof/>
                <w:webHidden/>
              </w:rPr>
              <w:fldChar w:fldCharType="separate"/>
            </w:r>
            <w:r w:rsidR="001B6432">
              <w:rPr>
                <w:noProof/>
                <w:webHidden/>
              </w:rPr>
              <w:t>5</w:t>
            </w:r>
            <w:r w:rsidR="001B6432">
              <w:rPr>
                <w:noProof/>
                <w:webHidden/>
              </w:rPr>
              <w:fldChar w:fldCharType="end"/>
            </w:r>
          </w:hyperlink>
        </w:p>
        <w:p w14:paraId="50DE7FBB" w14:textId="0E11E89D" w:rsidR="001B6432" w:rsidRDefault="00000000">
          <w:pPr>
            <w:pStyle w:val="TOC2"/>
            <w:tabs>
              <w:tab w:val="right" w:leader="dot" w:pos="9350"/>
            </w:tabs>
            <w:rPr>
              <w:noProof/>
            </w:rPr>
          </w:pPr>
          <w:hyperlink w:anchor="_Toc180967744" w:history="1">
            <w:r w:rsidR="001B6432" w:rsidRPr="00B224E1">
              <w:rPr>
                <w:rStyle w:val="Hyperlink"/>
                <w:rFonts w:eastAsia="Times New Roman"/>
                <w:noProof/>
              </w:rPr>
              <w:t>5.4. Resource Allocation</w:t>
            </w:r>
            <w:r w:rsidR="001B6432">
              <w:rPr>
                <w:noProof/>
                <w:webHidden/>
              </w:rPr>
              <w:tab/>
            </w:r>
            <w:r w:rsidR="001B6432">
              <w:rPr>
                <w:noProof/>
                <w:webHidden/>
              </w:rPr>
              <w:fldChar w:fldCharType="begin"/>
            </w:r>
            <w:r w:rsidR="001B6432">
              <w:rPr>
                <w:noProof/>
                <w:webHidden/>
              </w:rPr>
              <w:instrText xml:space="preserve"> PAGEREF _Toc180967744 \h </w:instrText>
            </w:r>
            <w:r w:rsidR="001B6432">
              <w:rPr>
                <w:noProof/>
                <w:webHidden/>
              </w:rPr>
            </w:r>
            <w:r w:rsidR="001B6432">
              <w:rPr>
                <w:noProof/>
                <w:webHidden/>
              </w:rPr>
              <w:fldChar w:fldCharType="separate"/>
            </w:r>
            <w:r w:rsidR="001B6432">
              <w:rPr>
                <w:noProof/>
                <w:webHidden/>
              </w:rPr>
              <w:t>5</w:t>
            </w:r>
            <w:r w:rsidR="001B6432">
              <w:rPr>
                <w:noProof/>
                <w:webHidden/>
              </w:rPr>
              <w:fldChar w:fldCharType="end"/>
            </w:r>
          </w:hyperlink>
        </w:p>
        <w:p w14:paraId="02D6F6CA" w14:textId="3F9C703E" w:rsidR="001B6432" w:rsidRDefault="00000000">
          <w:pPr>
            <w:pStyle w:val="TOC2"/>
            <w:tabs>
              <w:tab w:val="right" w:leader="dot" w:pos="9350"/>
            </w:tabs>
            <w:rPr>
              <w:noProof/>
            </w:rPr>
          </w:pPr>
          <w:hyperlink w:anchor="_Toc180967745" w:history="1">
            <w:r w:rsidR="001B6432" w:rsidRPr="00B224E1">
              <w:rPr>
                <w:rStyle w:val="Hyperlink"/>
                <w:rFonts w:eastAsia="Times New Roman"/>
                <w:noProof/>
              </w:rPr>
              <w:t>5.5. Safety and Compliance</w:t>
            </w:r>
            <w:r w:rsidR="001B6432">
              <w:rPr>
                <w:noProof/>
                <w:webHidden/>
              </w:rPr>
              <w:tab/>
            </w:r>
            <w:r w:rsidR="001B6432">
              <w:rPr>
                <w:noProof/>
                <w:webHidden/>
              </w:rPr>
              <w:fldChar w:fldCharType="begin"/>
            </w:r>
            <w:r w:rsidR="001B6432">
              <w:rPr>
                <w:noProof/>
                <w:webHidden/>
              </w:rPr>
              <w:instrText xml:space="preserve"> PAGEREF _Toc180967745 \h </w:instrText>
            </w:r>
            <w:r w:rsidR="001B6432">
              <w:rPr>
                <w:noProof/>
                <w:webHidden/>
              </w:rPr>
            </w:r>
            <w:r w:rsidR="001B6432">
              <w:rPr>
                <w:noProof/>
                <w:webHidden/>
              </w:rPr>
              <w:fldChar w:fldCharType="separate"/>
            </w:r>
            <w:r w:rsidR="001B6432">
              <w:rPr>
                <w:noProof/>
                <w:webHidden/>
              </w:rPr>
              <w:t>5</w:t>
            </w:r>
            <w:r w:rsidR="001B6432">
              <w:rPr>
                <w:noProof/>
                <w:webHidden/>
              </w:rPr>
              <w:fldChar w:fldCharType="end"/>
            </w:r>
          </w:hyperlink>
        </w:p>
        <w:p w14:paraId="0BC64C4C" w14:textId="199704E5" w:rsidR="001B6432" w:rsidRDefault="00000000">
          <w:pPr>
            <w:pStyle w:val="TOC1"/>
            <w:tabs>
              <w:tab w:val="right" w:leader="dot" w:pos="9350"/>
            </w:tabs>
            <w:rPr>
              <w:noProof/>
            </w:rPr>
          </w:pPr>
          <w:hyperlink w:anchor="_Toc180967746" w:history="1">
            <w:r w:rsidR="001B6432" w:rsidRPr="00B224E1">
              <w:rPr>
                <w:rStyle w:val="Hyperlink"/>
                <w:rFonts w:eastAsia="Times New Roman"/>
                <w:noProof/>
              </w:rPr>
              <w:t>6. Digital Resources and IT Infrastructure</w:t>
            </w:r>
            <w:r w:rsidR="001B6432">
              <w:rPr>
                <w:noProof/>
                <w:webHidden/>
              </w:rPr>
              <w:tab/>
            </w:r>
            <w:r w:rsidR="001B6432">
              <w:rPr>
                <w:noProof/>
                <w:webHidden/>
              </w:rPr>
              <w:fldChar w:fldCharType="begin"/>
            </w:r>
            <w:r w:rsidR="001B6432">
              <w:rPr>
                <w:noProof/>
                <w:webHidden/>
              </w:rPr>
              <w:instrText xml:space="preserve"> PAGEREF _Toc180967746 \h </w:instrText>
            </w:r>
            <w:r w:rsidR="001B6432">
              <w:rPr>
                <w:noProof/>
                <w:webHidden/>
              </w:rPr>
            </w:r>
            <w:r w:rsidR="001B6432">
              <w:rPr>
                <w:noProof/>
                <w:webHidden/>
              </w:rPr>
              <w:fldChar w:fldCharType="separate"/>
            </w:r>
            <w:r w:rsidR="001B6432">
              <w:rPr>
                <w:noProof/>
                <w:webHidden/>
              </w:rPr>
              <w:t>5</w:t>
            </w:r>
            <w:r w:rsidR="001B6432">
              <w:rPr>
                <w:noProof/>
                <w:webHidden/>
              </w:rPr>
              <w:fldChar w:fldCharType="end"/>
            </w:r>
          </w:hyperlink>
        </w:p>
        <w:p w14:paraId="5169B9D5" w14:textId="146B879E" w:rsidR="001B6432" w:rsidRDefault="00000000">
          <w:pPr>
            <w:pStyle w:val="TOC2"/>
            <w:tabs>
              <w:tab w:val="right" w:leader="dot" w:pos="9350"/>
            </w:tabs>
            <w:rPr>
              <w:noProof/>
            </w:rPr>
          </w:pPr>
          <w:hyperlink w:anchor="_Toc180967747" w:history="1">
            <w:r w:rsidR="001B6432" w:rsidRPr="00B224E1">
              <w:rPr>
                <w:rStyle w:val="Hyperlink"/>
                <w:rFonts w:eastAsia="Times New Roman"/>
                <w:noProof/>
              </w:rPr>
              <w:t>6.1. Digital Learning Platforms</w:t>
            </w:r>
            <w:r w:rsidR="001B6432">
              <w:rPr>
                <w:noProof/>
                <w:webHidden/>
              </w:rPr>
              <w:tab/>
            </w:r>
            <w:r w:rsidR="001B6432">
              <w:rPr>
                <w:noProof/>
                <w:webHidden/>
              </w:rPr>
              <w:fldChar w:fldCharType="begin"/>
            </w:r>
            <w:r w:rsidR="001B6432">
              <w:rPr>
                <w:noProof/>
                <w:webHidden/>
              </w:rPr>
              <w:instrText xml:space="preserve"> PAGEREF _Toc180967747 \h </w:instrText>
            </w:r>
            <w:r w:rsidR="001B6432">
              <w:rPr>
                <w:noProof/>
                <w:webHidden/>
              </w:rPr>
            </w:r>
            <w:r w:rsidR="001B6432">
              <w:rPr>
                <w:noProof/>
                <w:webHidden/>
              </w:rPr>
              <w:fldChar w:fldCharType="separate"/>
            </w:r>
            <w:r w:rsidR="001B6432">
              <w:rPr>
                <w:noProof/>
                <w:webHidden/>
              </w:rPr>
              <w:t>5</w:t>
            </w:r>
            <w:r w:rsidR="001B6432">
              <w:rPr>
                <w:noProof/>
                <w:webHidden/>
              </w:rPr>
              <w:fldChar w:fldCharType="end"/>
            </w:r>
          </w:hyperlink>
        </w:p>
        <w:p w14:paraId="600AF004" w14:textId="04B3FC1B" w:rsidR="001B6432" w:rsidRDefault="00000000">
          <w:pPr>
            <w:pStyle w:val="TOC2"/>
            <w:tabs>
              <w:tab w:val="right" w:leader="dot" w:pos="9350"/>
            </w:tabs>
            <w:rPr>
              <w:noProof/>
            </w:rPr>
          </w:pPr>
          <w:hyperlink w:anchor="_Toc180967748" w:history="1">
            <w:r w:rsidR="001B6432" w:rsidRPr="00B224E1">
              <w:rPr>
                <w:rStyle w:val="Hyperlink"/>
                <w:rFonts w:eastAsia="Times New Roman"/>
                <w:noProof/>
              </w:rPr>
              <w:t>6.2. IT Support and Resources</w:t>
            </w:r>
            <w:r w:rsidR="001B6432">
              <w:rPr>
                <w:noProof/>
                <w:webHidden/>
              </w:rPr>
              <w:tab/>
            </w:r>
            <w:r w:rsidR="001B6432">
              <w:rPr>
                <w:noProof/>
                <w:webHidden/>
              </w:rPr>
              <w:fldChar w:fldCharType="begin"/>
            </w:r>
            <w:r w:rsidR="001B6432">
              <w:rPr>
                <w:noProof/>
                <w:webHidden/>
              </w:rPr>
              <w:instrText xml:space="preserve"> PAGEREF _Toc180967748 \h </w:instrText>
            </w:r>
            <w:r w:rsidR="001B6432">
              <w:rPr>
                <w:noProof/>
                <w:webHidden/>
              </w:rPr>
            </w:r>
            <w:r w:rsidR="001B6432">
              <w:rPr>
                <w:noProof/>
                <w:webHidden/>
              </w:rPr>
              <w:fldChar w:fldCharType="separate"/>
            </w:r>
            <w:r w:rsidR="001B6432">
              <w:rPr>
                <w:noProof/>
                <w:webHidden/>
              </w:rPr>
              <w:t>5</w:t>
            </w:r>
            <w:r w:rsidR="001B6432">
              <w:rPr>
                <w:noProof/>
                <w:webHidden/>
              </w:rPr>
              <w:fldChar w:fldCharType="end"/>
            </w:r>
          </w:hyperlink>
        </w:p>
        <w:p w14:paraId="1EA6BD98" w14:textId="501AACB8" w:rsidR="001B6432" w:rsidRDefault="00000000">
          <w:pPr>
            <w:pStyle w:val="TOC2"/>
            <w:tabs>
              <w:tab w:val="right" w:leader="dot" w:pos="9350"/>
            </w:tabs>
            <w:rPr>
              <w:noProof/>
            </w:rPr>
          </w:pPr>
          <w:hyperlink w:anchor="_Toc180967749" w:history="1">
            <w:r w:rsidR="001B6432" w:rsidRPr="00B224E1">
              <w:rPr>
                <w:rStyle w:val="Hyperlink"/>
                <w:rFonts w:eastAsia="Times New Roman"/>
                <w:noProof/>
              </w:rPr>
              <w:t>6.3. Data Protection and Privacy</w:t>
            </w:r>
            <w:r w:rsidR="001B6432">
              <w:rPr>
                <w:noProof/>
                <w:webHidden/>
              </w:rPr>
              <w:tab/>
            </w:r>
            <w:r w:rsidR="001B6432">
              <w:rPr>
                <w:noProof/>
                <w:webHidden/>
              </w:rPr>
              <w:fldChar w:fldCharType="begin"/>
            </w:r>
            <w:r w:rsidR="001B6432">
              <w:rPr>
                <w:noProof/>
                <w:webHidden/>
              </w:rPr>
              <w:instrText xml:space="preserve"> PAGEREF _Toc180967749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7DC43885" w14:textId="4048FC56" w:rsidR="001B6432" w:rsidRDefault="00000000">
          <w:pPr>
            <w:pStyle w:val="TOC1"/>
            <w:tabs>
              <w:tab w:val="right" w:leader="dot" w:pos="9350"/>
            </w:tabs>
            <w:rPr>
              <w:noProof/>
            </w:rPr>
          </w:pPr>
          <w:hyperlink w:anchor="_Toc180967750" w:history="1">
            <w:r w:rsidR="001B6432" w:rsidRPr="00B224E1">
              <w:rPr>
                <w:rStyle w:val="Hyperlink"/>
                <w:rFonts w:eastAsia="Times New Roman"/>
                <w:noProof/>
              </w:rPr>
              <w:t>7. Research Facilities and Resources</w:t>
            </w:r>
            <w:r w:rsidR="001B6432">
              <w:rPr>
                <w:noProof/>
                <w:webHidden/>
              </w:rPr>
              <w:tab/>
            </w:r>
            <w:r w:rsidR="001B6432">
              <w:rPr>
                <w:noProof/>
                <w:webHidden/>
              </w:rPr>
              <w:fldChar w:fldCharType="begin"/>
            </w:r>
            <w:r w:rsidR="001B6432">
              <w:rPr>
                <w:noProof/>
                <w:webHidden/>
              </w:rPr>
              <w:instrText xml:space="preserve"> PAGEREF _Toc180967750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6BB95162" w14:textId="6B24121B" w:rsidR="001B6432" w:rsidRDefault="00000000">
          <w:pPr>
            <w:pStyle w:val="TOC2"/>
            <w:tabs>
              <w:tab w:val="right" w:leader="dot" w:pos="9350"/>
            </w:tabs>
            <w:rPr>
              <w:noProof/>
            </w:rPr>
          </w:pPr>
          <w:hyperlink w:anchor="_Toc180967751" w:history="1">
            <w:r w:rsidR="001B6432" w:rsidRPr="00B224E1">
              <w:rPr>
                <w:rStyle w:val="Hyperlink"/>
                <w:rFonts w:eastAsia="Times New Roman"/>
                <w:noProof/>
              </w:rPr>
              <w:t>7.1. Availability of Research Tools</w:t>
            </w:r>
            <w:r w:rsidR="001B6432">
              <w:rPr>
                <w:noProof/>
                <w:webHidden/>
              </w:rPr>
              <w:tab/>
            </w:r>
            <w:r w:rsidR="001B6432">
              <w:rPr>
                <w:noProof/>
                <w:webHidden/>
              </w:rPr>
              <w:fldChar w:fldCharType="begin"/>
            </w:r>
            <w:r w:rsidR="001B6432">
              <w:rPr>
                <w:noProof/>
                <w:webHidden/>
              </w:rPr>
              <w:instrText xml:space="preserve"> PAGEREF _Toc180967751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3F73FB3D" w14:textId="07E7CB0C" w:rsidR="001B6432" w:rsidRDefault="00000000">
          <w:pPr>
            <w:pStyle w:val="TOC2"/>
            <w:tabs>
              <w:tab w:val="right" w:leader="dot" w:pos="9350"/>
            </w:tabs>
            <w:rPr>
              <w:noProof/>
            </w:rPr>
          </w:pPr>
          <w:hyperlink w:anchor="_Toc180967752" w:history="1">
            <w:r w:rsidR="001B6432" w:rsidRPr="00B224E1">
              <w:rPr>
                <w:rStyle w:val="Hyperlink"/>
                <w:rFonts w:eastAsia="Times New Roman"/>
                <w:noProof/>
              </w:rPr>
              <w:t>7.2. Collaboration and Innovation</w:t>
            </w:r>
            <w:r w:rsidR="001B6432">
              <w:rPr>
                <w:noProof/>
                <w:webHidden/>
              </w:rPr>
              <w:tab/>
            </w:r>
            <w:r w:rsidR="001B6432">
              <w:rPr>
                <w:noProof/>
                <w:webHidden/>
              </w:rPr>
              <w:fldChar w:fldCharType="begin"/>
            </w:r>
            <w:r w:rsidR="001B6432">
              <w:rPr>
                <w:noProof/>
                <w:webHidden/>
              </w:rPr>
              <w:instrText xml:space="preserve"> PAGEREF _Toc180967752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5F7A1685" w14:textId="6522DEC7" w:rsidR="001B6432" w:rsidRDefault="00000000">
          <w:pPr>
            <w:pStyle w:val="TOC1"/>
            <w:tabs>
              <w:tab w:val="right" w:leader="dot" w:pos="9350"/>
            </w:tabs>
            <w:rPr>
              <w:noProof/>
            </w:rPr>
          </w:pPr>
          <w:hyperlink w:anchor="_Toc180967753" w:history="1">
            <w:r w:rsidR="001B6432" w:rsidRPr="00B224E1">
              <w:rPr>
                <w:rStyle w:val="Hyperlink"/>
                <w:rFonts w:eastAsia="Times New Roman"/>
                <w:noProof/>
              </w:rPr>
              <w:t>8. Health, Safety, and Accessibility</w:t>
            </w:r>
            <w:r w:rsidR="001B6432">
              <w:rPr>
                <w:noProof/>
                <w:webHidden/>
              </w:rPr>
              <w:tab/>
            </w:r>
            <w:r w:rsidR="001B6432">
              <w:rPr>
                <w:noProof/>
                <w:webHidden/>
              </w:rPr>
              <w:fldChar w:fldCharType="begin"/>
            </w:r>
            <w:r w:rsidR="001B6432">
              <w:rPr>
                <w:noProof/>
                <w:webHidden/>
              </w:rPr>
              <w:instrText xml:space="preserve"> PAGEREF _Toc180967753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69BED178" w14:textId="25F93C9F" w:rsidR="001B6432" w:rsidRDefault="00000000">
          <w:pPr>
            <w:pStyle w:val="TOC2"/>
            <w:tabs>
              <w:tab w:val="right" w:leader="dot" w:pos="9350"/>
            </w:tabs>
            <w:rPr>
              <w:noProof/>
            </w:rPr>
          </w:pPr>
          <w:hyperlink w:anchor="_Toc180967754" w:history="1">
            <w:r w:rsidR="001B6432" w:rsidRPr="00B224E1">
              <w:rPr>
                <w:rStyle w:val="Hyperlink"/>
                <w:rFonts w:eastAsia="Times New Roman"/>
                <w:noProof/>
              </w:rPr>
              <w:t xml:space="preserve">8.1. Health and </w:t>
            </w:r>
            <w:r w:rsidR="001B6432" w:rsidRPr="00B224E1">
              <w:rPr>
                <w:rStyle w:val="Hyperlink"/>
                <w:rFonts w:eastAsia="Times New Roman"/>
                <w:noProof/>
                <w:highlight w:val="yellow"/>
              </w:rPr>
              <w:t>Wellness Services</w:t>
            </w:r>
            <w:r w:rsidR="001B6432">
              <w:rPr>
                <w:noProof/>
                <w:webHidden/>
              </w:rPr>
              <w:tab/>
            </w:r>
            <w:r w:rsidR="001B6432">
              <w:rPr>
                <w:noProof/>
                <w:webHidden/>
              </w:rPr>
              <w:fldChar w:fldCharType="begin"/>
            </w:r>
            <w:r w:rsidR="001B6432">
              <w:rPr>
                <w:noProof/>
                <w:webHidden/>
              </w:rPr>
              <w:instrText xml:space="preserve"> PAGEREF _Toc180967754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5876CAAC" w14:textId="019BA75A" w:rsidR="001B6432" w:rsidRDefault="00000000">
          <w:pPr>
            <w:pStyle w:val="TOC2"/>
            <w:tabs>
              <w:tab w:val="right" w:leader="dot" w:pos="9350"/>
            </w:tabs>
            <w:rPr>
              <w:noProof/>
            </w:rPr>
          </w:pPr>
          <w:hyperlink w:anchor="_Toc180967755" w:history="1">
            <w:r w:rsidR="001B6432" w:rsidRPr="00B224E1">
              <w:rPr>
                <w:rStyle w:val="Hyperlink"/>
                <w:rFonts w:eastAsia="Times New Roman"/>
                <w:noProof/>
              </w:rPr>
              <w:t>8.2. Safety Measures</w:t>
            </w:r>
            <w:r w:rsidR="001B6432">
              <w:rPr>
                <w:noProof/>
                <w:webHidden/>
              </w:rPr>
              <w:tab/>
            </w:r>
            <w:r w:rsidR="001B6432">
              <w:rPr>
                <w:noProof/>
                <w:webHidden/>
              </w:rPr>
              <w:fldChar w:fldCharType="begin"/>
            </w:r>
            <w:r w:rsidR="001B6432">
              <w:rPr>
                <w:noProof/>
                <w:webHidden/>
              </w:rPr>
              <w:instrText xml:space="preserve"> PAGEREF _Toc180967755 \h </w:instrText>
            </w:r>
            <w:r w:rsidR="001B6432">
              <w:rPr>
                <w:noProof/>
                <w:webHidden/>
              </w:rPr>
            </w:r>
            <w:r w:rsidR="001B6432">
              <w:rPr>
                <w:noProof/>
                <w:webHidden/>
              </w:rPr>
              <w:fldChar w:fldCharType="separate"/>
            </w:r>
            <w:r w:rsidR="001B6432">
              <w:rPr>
                <w:noProof/>
                <w:webHidden/>
              </w:rPr>
              <w:t>6</w:t>
            </w:r>
            <w:r w:rsidR="001B6432">
              <w:rPr>
                <w:noProof/>
                <w:webHidden/>
              </w:rPr>
              <w:fldChar w:fldCharType="end"/>
            </w:r>
          </w:hyperlink>
        </w:p>
        <w:p w14:paraId="604A1FC5" w14:textId="374A32EA" w:rsidR="001B6432" w:rsidRDefault="00000000">
          <w:pPr>
            <w:pStyle w:val="TOC2"/>
            <w:tabs>
              <w:tab w:val="right" w:leader="dot" w:pos="9350"/>
            </w:tabs>
            <w:rPr>
              <w:noProof/>
            </w:rPr>
          </w:pPr>
          <w:hyperlink w:anchor="_Toc180967756" w:history="1">
            <w:r w:rsidR="001B6432" w:rsidRPr="00B224E1">
              <w:rPr>
                <w:rStyle w:val="Hyperlink"/>
                <w:rFonts w:eastAsia="Times New Roman"/>
                <w:noProof/>
              </w:rPr>
              <w:t>8.3. Accessibility</w:t>
            </w:r>
            <w:r w:rsidR="001B6432">
              <w:rPr>
                <w:noProof/>
                <w:webHidden/>
              </w:rPr>
              <w:tab/>
            </w:r>
            <w:r w:rsidR="001B6432">
              <w:rPr>
                <w:noProof/>
                <w:webHidden/>
              </w:rPr>
              <w:fldChar w:fldCharType="begin"/>
            </w:r>
            <w:r w:rsidR="001B6432">
              <w:rPr>
                <w:noProof/>
                <w:webHidden/>
              </w:rPr>
              <w:instrText xml:space="preserve"> PAGEREF _Toc180967756 \h </w:instrText>
            </w:r>
            <w:r w:rsidR="001B6432">
              <w:rPr>
                <w:noProof/>
                <w:webHidden/>
              </w:rPr>
            </w:r>
            <w:r w:rsidR="001B6432">
              <w:rPr>
                <w:noProof/>
                <w:webHidden/>
              </w:rPr>
              <w:fldChar w:fldCharType="separate"/>
            </w:r>
            <w:r w:rsidR="001B6432">
              <w:rPr>
                <w:noProof/>
                <w:webHidden/>
              </w:rPr>
              <w:t>7</w:t>
            </w:r>
            <w:r w:rsidR="001B6432">
              <w:rPr>
                <w:noProof/>
                <w:webHidden/>
              </w:rPr>
              <w:fldChar w:fldCharType="end"/>
            </w:r>
          </w:hyperlink>
        </w:p>
        <w:p w14:paraId="16B1A901" w14:textId="34C12C76" w:rsidR="001B6432" w:rsidRDefault="00000000">
          <w:pPr>
            <w:pStyle w:val="TOC1"/>
            <w:tabs>
              <w:tab w:val="right" w:leader="dot" w:pos="9350"/>
            </w:tabs>
            <w:rPr>
              <w:noProof/>
            </w:rPr>
          </w:pPr>
          <w:hyperlink w:anchor="_Toc180967757" w:history="1">
            <w:r w:rsidR="001B6432" w:rsidRPr="00B224E1">
              <w:rPr>
                <w:rStyle w:val="Hyperlink"/>
                <w:rFonts w:eastAsia="Times New Roman"/>
                <w:noProof/>
              </w:rPr>
              <w:t>9. Continuous Improvement and Innovation</w:t>
            </w:r>
            <w:r w:rsidR="001B6432">
              <w:rPr>
                <w:noProof/>
                <w:webHidden/>
              </w:rPr>
              <w:tab/>
            </w:r>
            <w:r w:rsidR="001B6432">
              <w:rPr>
                <w:noProof/>
                <w:webHidden/>
              </w:rPr>
              <w:fldChar w:fldCharType="begin"/>
            </w:r>
            <w:r w:rsidR="001B6432">
              <w:rPr>
                <w:noProof/>
                <w:webHidden/>
              </w:rPr>
              <w:instrText xml:space="preserve"> PAGEREF _Toc180967757 \h </w:instrText>
            </w:r>
            <w:r w:rsidR="001B6432">
              <w:rPr>
                <w:noProof/>
                <w:webHidden/>
              </w:rPr>
            </w:r>
            <w:r w:rsidR="001B6432">
              <w:rPr>
                <w:noProof/>
                <w:webHidden/>
              </w:rPr>
              <w:fldChar w:fldCharType="separate"/>
            </w:r>
            <w:r w:rsidR="001B6432">
              <w:rPr>
                <w:noProof/>
                <w:webHidden/>
              </w:rPr>
              <w:t>7</w:t>
            </w:r>
            <w:r w:rsidR="001B6432">
              <w:rPr>
                <w:noProof/>
                <w:webHidden/>
              </w:rPr>
              <w:fldChar w:fldCharType="end"/>
            </w:r>
          </w:hyperlink>
        </w:p>
        <w:p w14:paraId="38AD3613" w14:textId="60A1C67E" w:rsidR="001B6432" w:rsidRDefault="00000000">
          <w:pPr>
            <w:pStyle w:val="TOC2"/>
            <w:tabs>
              <w:tab w:val="right" w:leader="dot" w:pos="9350"/>
            </w:tabs>
            <w:rPr>
              <w:noProof/>
            </w:rPr>
          </w:pPr>
          <w:hyperlink w:anchor="_Toc180967758" w:history="1">
            <w:r w:rsidR="001B6432" w:rsidRPr="00B224E1">
              <w:rPr>
                <w:rStyle w:val="Hyperlink"/>
                <w:rFonts w:eastAsia="Times New Roman"/>
                <w:noProof/>
              </w:rPr>
              <w:t>9.1. Innovation in Teaching and Learning Spaces</w:t>
            </w:r>
            <w:r w:rsidR="001B6432">
              <w:rPr>
                <w:noProof/>
                <w:webHidden/>
              </w:rPr>
              <w:tab/>
            </w:r>
            <w:r w:rsidR="001B6432">
              <w:rPr>
                <w:noProof/>
                <w:webHidden/>
              </w:rPr>
              <w:fldChar w:fldCharType="begin"/>
            </w:r>
            <w:r w:rsidR="001B6432">
              <w:rPr>
                <w:noProof/>
                <w:webHidden/>
              </w:rPr>
              <w:instrText xml:space="preserve"> PAGEREF _Toc180967758 \h </w:instrText>
            </w:r>
            <w:r w:rsidR="001B6432">
              <w:rPr>
                <w:noProof/>
                <w:webHidden/>
              </w:rPr>
            </w:r>
            <w:r w:rsidR="001B6432">
              <w:rPr>
                <w:noProof/>
                <w:webHidden/>
              </w:rPr>
              <w:fldChar w:fldCharType="separate"/>
            </w:r>
            <w:r w:rsidR="001B6432">
              <w:rPr>
                <w:noProof/>
                <w:webHidden/>
              </w:rPr>
              <w:t>7</w:t>
            </w:r>
            <w:r w:rsidR="001B6432">
              <w:rPr>
                <w:noProof/>
                <w:webHidden/>
              </w:rPr>
              <w:fldChar w:fldCharType="end"/>
            </w:r>
          </w:hyperlink>
        </w:p>
        <w:p w14:paraId="68003EE8" w14:textId="7039DB2F" w:rsidR="001B6432" w:rsidRDefault="00000000">
          <w:pPr>
            <w:pStyle w:val="TOC2"/>
            <w:tabs>
              <w:tab w:val="right" w:leader="dot" w:pos="9350"/>
            </w:tabs>
            <w:rPr>
              <w:noProof/>
            </w:rPr>
          </w:pPr>
          <w:hyperlink w:anchor="_Toc180967759" w:history="1">
            <w:r w:rsidR="001B6432" w:rsidRPr="00B224E1">
              <w:rPr>
                <w:rStyle w:val="Hyperlink"/>
                <w:rFonts w:eastAsia="Times New Roman"/>
                <w:noProof/>
              </w:rPr>
              <w:t>9.2. Benchmarking and Best Practices</w:t>
            </w:r>
            <w:r w:rsidR="001B6432">
              <w:rPr>
                <w:noProof/>
                <w:webHidden/>
              </w:rPr>
              <w:tab/>
            </w:r>
            <w:r w:rsidR="001B6432">
              <w:rPr>
                <w:noProof/>
                <w:webHidden/>
              </w:rPr>
              <w:fldChar w:fldCharType="begin"/>
            </w:r>
            <w:r w:rsidR="001B6432">
              <w:rPr>
                <w:noProof/>
                <w:webHidden/>
              </w:rPr>
              <w:instrText xml:space="preserve"> PAGEREF _Toc180967759 \h </w:instrText>
            </w:r>
            <w:r w:rsidR="001B6432">
              <w:rPr>
                <w:noProof/>
                <w:webHidden/>
              </w:rPr>
            </w:r>
            <w:r w:rsidR="001B6432">
              <w:rPr>
                <w:noProof/>
                <w:webHidden/>
              </w:rPr>
              <w:fldChar w:fldCharType="separate"/>
            </w:r>
            <w:r w:rsidR="001B6432">
              <w:rPr>
                <w:noProof/>
                <w:webHidden/>
              </w:rPr>
              <w:t>7</w:t>
            </w:r>
            <w:r w:rsidR="001B6432">
              <w:rPr>
                <w:noProof/>
                <w:webHidden/>
              </w:rPr>
              <w:fldChar w:fldCharType="end"/>
            </w:r>
          </w:hyperlink>
        </w:p>
        <w:p w14:paraId="6C7A3979" w14:textId="7C587893" w:rsidR="001B6432" w:rsidRDefault="00000000">
          <w:pPr>
            <w:pStyle w:val="TOC1"/>
            <w:tabs>
              <w:tab w:val="right" w:leader="dot" w:pos="9350"/>
            </w:tabs>
            <w:rPr>
              <w:noProof/>
            </w:rPr>
          </w:pPr>
          <w:hyperlink w:anchor="_Toc180967760" w:history="1">
            <w:r w:rsidR="001B6432" w:rsidRPr="00B224E1">
              <w:rPr>
                <w:rStyle w:val="Hyperlink"/>
                <w:rFonts w:eastAsia="Times New Roman"/>
                <w:noProof/>
              </w:rPr>
              <w:t>10. Policy Review and Updates</w:t>
            </w:r>
            <w:r w:rsidR="001B6432">
              <w:rPr>
                <w:noProof/>
                <w:webHidden/>
              </w:rPr>
              <w:tab/>
            </w:r>
            <w:r w:rsidR="001B6432">
              <w:rPr>
                <w:noProof/>
                <w:webHidden/>
              </w:rPr>
              <w:fldChar w:fldCharType="begin"/>
            </w:r>
            <w:r w:rsidR="001B6432">
              <w:rPr>
                <w:noProof/>
                <w:webHidden/>
              </w:rPr>
              <w:instrText xml:space="preserve"> PAGEREF _Toc180967760 \h </w:instrText>
            </w:r>
            <w:r w:rsidR="001B6432">
              <w:rPr>
                <w:noProof/>
                <w:webHidden/>
              </w:rPr>
            </w:r>
            <w:r w:rsidR="001B6432">
              <w:rPr>
                <w:noProof/>
                <w:webHidden/>
              </w:rPr>
              <w:fldChar w:fldCharType="separate"/>
            </w:r>
            <w:r w:rsidR="001B6432">
              <w:rPr>
                <w:noProof/>
                <w:webHidden/>
              </w:rPr>
              <w:t>7</w:t>
            </w:r>
            <w:r w:rsidR="001B6432">
              <w:rPr>
                <w:noProof/>
                <w:webHidden/>
              </w:rPr>
              <w:fldChar w:fldCharType="end"/>
            </w:r>
          </w:hyperlink>
        </w:p>
        <w:p w14:paraId="27FBC614" w14:textId="1B0BAB7A" w:rsidR="001B6432" w:rsidRDefault="00000000">
          <w:pPr>
            <w:pStyle w:val="TOC1"/>
            <w:tabs>
              <w:tab w:val="right" w:leader="dot" w:pos="9350"/>
            </w:tabs>
            <w:rPr>
              <w:noProof/>
            </w:rPr>
          </w:pPr>
          <w:hyperlink w:anchor="_Toc180967761" w:history="1">
            <w:r w:rsidR="001B6432" w:rsidRPr="00B224E1">
              <w:rPr>
                <w:rStyle w:val="Hyperlink"/>
                <w:rFonts w:eastAsia="Times New Roman"/>
                <w:noProof/>
              </w:rPr>
              <w:t>11. Responsibilities</w:t>
            </w:r>
            <w:r w:rsidR="001B6432">
              <w:rPr>
                <w:noProof/>
                <w:webHidden/>
              </w:rPr>
              <w:tab/>
            </w:r>
            <w:r w:rsidR="001B6432">
              <w:rPr>
                <w:noProof/>
                <w:webHidden/>
              </w:rPr>
              <w:fldChar w:fldCharType="begin"/>
            </w:r>
            <w:r w:rsidR="001B6432">
              <w:rPr>
                <w:noProof/>
                <w:webHidden/>
              </w:rPr>
              <w:instrText xml:space="preserve"> PAGEREF _Toc180967761 \h </w:instrText>
            </w:r>
            <w:r w:rsidR="001B6432">
              <w:rPr>
                <w:noProof/>
                <w:webHidden/>
              </w:rPr>
            </w:r>
            <w:r w:rsidR="001B6432">
              <w:rPr>
                <w:noProof/>
                <w:webHidden/>
              </w:rPr>
              <w:fldChar w:fldCharType="separate"/>
            </w:r>
            <w:r w:rsidR="001B6432">
              <w:rPr>
                <w:noProof/>
                <w:webHidden/>
              </w:rPr>
              <w:t>7</w:t>
            </w:r>
            <w:r w:rsidR="001B6432">
              <w:rPr>
                <w:noProof/>
                <w:webHidden/>
              </w:rPr>
              <w:fldChar w:fldCharType="end"/>
            </w:r>
          </w:hyperlink>
        </w:p>
        <w:p w14:paraId="00EAAF22" w14:textId="7812F33E" w:rsidR="001B6432" w:rsidRDefault="00000000">
          <w:pPr>
            <w:pStyle w:val="TOC1"/>
            <w:tabs>
              <w:tab w:val="right" w:leader="dot" w:pos="9350"/>
            </w:tabs>
            <w:rPr>
              <w:noProof/>
            </w:rPr>
          </w:pPr>
          <w:hyperlink w:anchor="_Toc180967762" w:history="1">
            <w:r w:rsidR="001B6432" w:rsidRPr="00B224E1">
              <w:rPr>
                <w:rStyle w:val="Hyperlink"/>
                <w:rFonts w:eastAsia="Times New Roman"/>
                <w:noProof/>
              </w:rPr>
              <w:t>12. Conclusion</w:t>
            </w:r>
            <w:r w:rsidR="001B6432">
              <w:rPr>
                <w:noProof/>
                <w:webHidden/>
              </w:rPr>
              <w:tab/>
            </w:r>
            <w:r w:rsidR="001B6432">
              <w:rPr>
                <w:noProof/>
                <w:webHidden/>
              </w:rPr>
              <w:fldChar w:fldCharType="begin"/>
            </w:r>
            <w:r w:rsidR="001B6432">
              <w:rPr>
                <w:noProof/>
                <w:webHidden/>
              </w:rPr>
              <w:instrText xml:space="preserve"> PAGEREF _Toc180967762 \h </w:instrText>
            </w:r>
            <w:r w:rsidR="001B6432">
              <w:rPr>
                <w:noProof/>
                <w:webHidden/>
              </w:rPr>
            </w:r>
            <w:r w:rsidR="001B6432">
              <w:rPr>
                <w:noProof/>
                <w:webHidden/>
              </w:rPr>
              <w:fldChar w:fldCharType="separate"/>
            </w:r>
            <w:r w:rsidR="001B6432">
              <w:rPr>
                <w:noProof/>
                <w:webHidden/>
              </w:rPr>
              <w:t>8</w:t>
            </w:r>
            <w:r w:rsidR="001B6432">
              <w:rPr>
                <w:noProof/>
                <w:webHidden/>
              </w:rPr>
              <w:fldChar w:fldCharType="end"/>
            </w:r>
          </w:hyperlink>
        </w:p>
        <w:p w14:paraId="26455877" w14:textId="464D51DD" w:rsidR="00497542" w:rsidRDefault="00497542">
          <w:r>
            <w:rPr>
              <w:b/>
              <w:bCs/>
              <w:noProof/>
            </w:rPr>
            <w:fldChar w:fldCharType="end"/>
          </w:r>
        </w:p>
      </w:sdtContent>
    </w:sdt>
    <w:p w14:paraId="2E3ECCB3" w14:textId="77777777" w:rsidR="00497542" w:rsidRPr="00497542" w:rsidRDefault="00497542" w:rsidP="00497542"/>
    <w:p w14:paraId="1707080F" w14:textId="77777777" w:rsidR="00C15121" w:rsidRPr="00497542" w:rsidRDefault="00C15121" w:rsidP="00497542">
      <w:pPr>
        <w:pStyle w:val="Heading1"/>
        <w:rPr>
          <w:rFonts w:eastAsia="Times New Roman"/>
        </w:rPr>
      </w:pPr>
      <w:bookmarkStart w:id="0" w:name="_Toc180967732"/>
      <w:r w:rsidRPr="00497542">
        <w:rPr>
          <w:rFonts w:eastAsia="Times New Roman"/>
        </w:rPr>
        <w:t>1. Introduction</w:t>
      </w:r>
      <w:bookmarkEnd w:id="0"/>
    </w:p>
    <w:p w14:paraId="03CCD3BC" w14:textId="77777777" w:rsidR="00C15121" w:rsidRPr="00497542" w:rsidRDefault="00C15121" w:rsidP="00497542">
      <w:p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is committed to providing high-quality resources and facilities that support teaching, learning, research, and student life. This policy outlines the principles and procedures for ensuring that these resources and facilities are effectively managed, maintained, and enhanced to meet the needs of all stakeholders. The policy aims to create an environment that promotes academic success, research excellence, and personal development.</w:t>
      </w:r>
    </w:p>
    <w:p w14:paraId="63E3942F" w14:textId="653F3232" w:rsidR="00C15121" w:rsidRPr="00497542" w:rsidRDefault="00C15121" w:rsidP="00C15121">
      <w:pPr>
        <w:spacing w:after="0" w:line="240" w:lineRule="auto"/>
        <w:rPr>
          <w:rFonts w:eastAsia="Times New Roman" w:cstheme="minorHAnsi"/>
          <w:sz w:val="24"/>
          <w:szCs w:val="24"/>
        </w:rPr>
      </w:pPr>
    </w:p>
    <w:p w14:paraId="2CB8B474" w14:textId="77777777" w:rsidR="00C15121" w:rsidRPr="00497542" w:rsidRDefault="00C15121" w:rsidP="00ED5198">
      <w:pPr>
        <w:pStyle w:val="Heading1"/>
        <w:rPr>
          <w:rFonts w:eastAsia="Times New Roman"/>
        </w:rPr>
      </w:pPr>
      <w:bookmarkStart w:id="1" w:name="_Toc180967733"/>
      <w:r w:rsidRPr="00497542">
        <w:rPr>
          <w:rFonts w:eastAsia="Times New Roman"/>
        </w:rPr>
        <w:t>2. Objectives</w:t>
      </w:r>
      <w:bookmarkEnd w:id="1"/>
    </w:p>
    <w:p w14:paraId="44EF96C3" w14:textId="77777777" w:rsidR="00C15121" w:rsidRPr="00497542" w:rsidRDefault="00C15121" w:rsidP="00C15121">
      <w:pPr>
        <w:spacing w:before="100" w:beforeAutospacing="1" w:after="100" w:afterAutospacing="1" w:line="240" w:lineRule="auto"/>
        <w:rPr>
          <w:rFonts w:eastAsia="Times New Roman" w:cstheme="minorHAnsi"/>
          <w:sz w:val="24"/>
          <w:szCs w:val="24"/>
        </w:rPr>
      </w:pPr>
      <w:r w:rsidRPr="00497542">
        <w:rPr>
          <w:rFonts w:eastAsia="Times New Roman" w:cstheme="minorHAnsi"/>
          <w:sz w:val="24"/>
          <w:szCs w:val="24"/>
        </w:rPr>
        <w:t>The key objectives of this policy are:</w:t>
      </w:r>
    </w:p>
    <w:p w14:paraId="3677A1C3" w14:textId="77777777" w:rsidR="00C15121" w:rsidRPr="00497542" w:rsidRDefault="00C15121" w:rsidP="00ED5198">
      <w:pPr>
        <w:numPr>
          <w:ilvl w:val="0"/>
          <w:numId w:val="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To provide safe, accessible, and inclusive learning environments.</w:t>
      </w:r>
    </w:p>
    <w:p w14:paraId="26859766" w14:textId="77777777" w:rsidR="00C15121" w:rsidRPr="00497542" w:rsidRDefault="00C15121" w:rsidP="00ED5198">
      <w:pPr>
        <w:numPr>
          <w:ilvl w:val="0"/>
          <w:numId w:val="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To ensure that all facilities meet or exceed national and international standards for higher education.</w:t>
      </w:r>
    </w:p>
    <w:p w14:paraId="6E0DEA8F" w14:textId="77777777" w:rsidR="00C15121" w:rsidRPr="00497542" w:rsidRDefault="00C15121" w:rsidP="00ED5198">
      <w:pPr>
        <w:numPr>
          <w:ilvl w:val="0"/>
          <w:numId w:val="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To continuously review and improve the quality and availability of resources to meet the evolving needs of students, staff, and the broader academic community.</w:t>
      </w:r>
    </w:p>
    <w:p w14:paraId="26EC6D3B" w14:textId="77777777" w:rsidR="00C15121" w:rsidRPr="00497542" w:rsidRDefault="00C15121" w:rsidP="00ED5198">
      <w:pPr>
        <w:numPr>
          <w:ilvl w:val="0"/>
          <w:numId w:val="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To support the effective use of digital and physical resources in teaching, learning, and research.</w:t>
      </w:r>
    </w:p>
    <w:p w14:paraId="57273EE2" w14:textId="6CCC6A1F" w:rsidR="00C15121" w:rsidRPr="00497542" w:rsidRDefault="00C15121" w:rsidP="00C15121">
      <w:pPr>
        <w:spacing w:after="0" w:line="240" w:lineRule="auto"/>
        <w:rPr>
          <w:rFonts w:eastAsia="Times New Roman" w:cstheme="minorHAnsi"/>
          <w:sz w:val="24"/>
          <w:szCs w:val="24"/>
        </w:rPr>
      </w:pPr>
    </w:p>
    <w:p w14:paraId="17A444C3" w14:textId="77777777" w:rsidR="00C15121" w:rsidRPr="00497542" w:rsidRDefault="00C15121" w:rsidP="00ED5198">
      <w:pPr>
        <w:pStyle w:val="Heading1"/>
        <w:rPr>
          <w:rFonts w:eastAsia="Times New Roman"/>
        </w:rPr>
      </w:pPr>
      <w:bookmarkStart w:id="2" w:name="_Toc180967734"/>
      <w:r w:rsidRPr="00497542">
        <w:rPr>
          <w:rFonts w:eastAsia="Times New Roman"/>
        </w:rPr>
        <w:t>3. Resources and Facilities Covered</w:t>
      </w:r>
      <w:bookmarkEnd w:id="2"/>
    </w:p>
    <w:p w14:paraId="13EEAC75" w14:textId="77777777" w:rsidR="00C15121" w:rsidRPr="00497542" w:rsidRDefault="00C15121" w:rsidP="00ED5198">
      <w:p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scope of this policy includes, but is not limited to, the following resources and facilities:</w:t>
      </w:r>
    </w:p>
    <w:p w14:paraId="465AC026" w14:textId="56CA85B5" w:rsidR="00C15121" w:rsidRPr="00497542" w:rsidRDefault="00C15121" w:rsidP="00ED5198">
      <w:pPr>
        <w:numPr>
          <w:ilvl w:val="0"/>
          <w:numId w:val="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b/>
          <w:bCs/>
          <w:sz w:val="24"/>
          <w:szCs w:val="24"/>
        </w:rPr>
        <w:t>Physical Infrastructure</w:t>
      </w:r>
      <w:r w:rsidRPr="00497542">
        <w:rPr>
          <w:rFonts w:eastAsia="Times New Roman" w:cstheme="minorHAnsi"/>
          <w:sz w:val="24"/>
          <w:szCs w:val="24"/>
        </w:rPr>
        <w:t xml:space="preserve">: Lecture halls, classrooms, laboratories, libraries, study spaces, student </w:t>
      </w:r>
      <w:proofErr w:type="spellStart"/>
      <w:r w:rsidR="00ED5198">
        <w:rPr>
          <w:rFonts w:eastAsia="Times New Roman" w:cstheme="minorHAnsi"/>
          <w:sz w:val="24"/>
          <w:szCs w:val="24"/>
        </w:rPr>
        <w:t>accomodations</w:t>
      </w:r>
      <w:proofErr w:type="spellEnd"/>
      <w:r w:rsidRPr="00497542">
        <w:rPr>
          <w:rFonts w:eastAsia="Times New Roman" w:cstheme="minorHAnsi"/>
          <w:sz w:val="24"/>
          <w:szCs w:val="24"/>
        </w:rPr>
        <w:t>, and recreational facilities.</w:t>
      </w:r>
    </w:p>
    <w:p w14:paraId="228A3BC3" w14:textId="77777777" w:rsidR="00C15121" w:rsidRPr="00497542" w:rsidRDefault="00C15121" w:rsidP="00ED5198">
      <w:pPr>
        <w:numPr>
          <w:ilvl w:val="0"/>
          <w:numId w:val="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b/>
          <w:bCs/>
          <w:sz w:val="24"/>
          <w:szCs w:val="24"/>
        </w:rPr>
        <w:t>Digital Resources</w:t>
      </w:r>
      <w:r w:rsidRPr="00497542">
        <w:rPr>
          <w:rFonts w:eastAsia="Times New Roman" w:cstheme="minorHAnsi"/>
          <w:sz w:val="24"/>
          <w:szCs w:val="24"/>
        </w:rPr>
        <w:t>: Online learning platforms, databases, e-libraries, research tools, and software.</w:t>
      </w:r>
    </w:p>
    <w:p w14:paraId="2C236608" w14:textId="77777777" w:rsidR="00C15121" w:rsidRPr="00497542" w:rsidRDefault="00C15121" w:rsidP="00ED5198">
      <w:pPr>
        <w:numPr>
          <w:ilvl w:val="0"/>
          <w:numId w:val="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b/>
          <w:bCs/>
          <w:sz w:val="24"/>
          <w:szCs w:val="24"/>
        </w:rPr>
        <w:t>Research Facilities</w:t>
      </w:r>
      <w:r w:rsidRPr="00497542">
        <w:rPr>
          <w:rFonts w:eastAsia="Times New Roman" w:cstheme="minorHAnsi"/>
          <w:sz w:val="24"/>
          <w:szCs w:val="24"/>
        </w:rPr>
        <w:t>: Laboratories, specialized equipment, research centers, and innovation hubs.</w:t>
      </w:r>
    </w:p>
    <w:p w14:paraId="650E119A" w14:textId="77777777" w:rsidR="00C15121" w:rsidRPr="00497542" w:rsidRDefault="00C15121" w:rsidP="00ED5198">
      <w:pPr>
        <w:numPr>
          <w:ilvl w:val="0"/>
          <w:numId w:val="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b/>
          <w:bCs/>
          <w:sz w:val="24"/>
          <w:szCs w:val="24"/>
        </w:rPr>
        <w:t>Support Services</w:t>
      </w:r>
      <w:r w:rsidRPr="00497542">
        <w:rPr>
          <w:rFonts w:eastAsia="Times New Roman" w:cstheme="minorHAnsi"/>
          <w:sz w:val="24"/>
          <w:szCs w:val="24"/>
        </w:rPr>
        <w:t>: Academic advising offices, IT support, career services, and student counseling.</w:t>
      </w:r>
    </w:p>
    <w:p w14:paraId="67C632D6" w14:textId="77777777" w:rsidR="00C15121" w:rsidRPr="00497542" w:rsidRDefault="00C15121" w:rsidP="00ED5198">
      <w:pPr>
        <w:numPr>
          <w:ilvl w:val="0"/>
          <w:numId w:val="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b/>
          <w:bCs/>
          <w:sz w:val="24"/>
          <w:szCs w:val="24"/>
        </w:rPr>
        <w:t>Health, Safety, and Accessibility</w:t>
      </w:r>
      <w:r w:rsidRPr="00497542">
        <w:rPr>
          <w:rFonts w:eastAsia="Times New Roman" w:cstheme="minorHAnsi"/>
          <w:sz w:val="24"/>
          <w:szCs w:val="24"/>
        </w:rPr>
        <w:t>: Health and wellness services, disability support, security measures, and emergency preparedness.</w:t>
      </w:r>
    </w:p>
    <w:p w14:paraId="3999192E" w14:textId="3278450D" w:rsidR="00C15121" w:rsidRPr="00497542" w:rsidRDefault="00C15121" w:rsidP="00C15121">
      <w:pPr>
        <w:spacing w:after="0" w:line="240" w:lineRule="auto"/>
        <w:rPr>
          <w:rFonts w:eastAsia="Times New Roman" w:cstheme="minorHAnsi"/>
          <w:sz w:val="24"/>
          <w:szCs w:val="24"/>
        </w:rPr>
      </w:pPr>
    </w:p>
    <w:p w14:paraId="4167C098" w14:textId="77777777" w:rsidR="00C15121" w:rsidRPr="00497542" w:rsidRDefault="00C15121" w:rsidP="00ED5198">
      <w:pPr>
        <w:pStyle w:val="Heading1"/>
        <w:rPr>
          <w:rFonts w:eastAsia="Times New Roman"/>
        </w:rPr>
      </w:pPr>
      <w:bookmarkStart w:id="3" w:name="_Toc180967735"/>
      <w:r w:rsidRPr="00497542">
        <w:rPr>
          <w:rFonts w:eastAsia="Times New Roman"/>
        </w:rPr>
        <w:lastRenderedPageBreak/>
        <w:t>4. Principles</w:t>
      </w:r>
      <w:bookmarkEnd w:id="3"/>
    </w:p>
    <w:p w14:paraId="44545A9D" w14:textId="77777777" w:rsidR="00C15121" w:rsidRPr="00497542" w:rsidRDefault="00C15121" w:rsidP="00ED5198">
      <w:pPr>
        <w:pStyle w:val="Heading2"/>
        <w:rPr>
          <w:rFonts w:eastAsia="Times New Roman"/>
        </w:rPr>
      </w:pPr>
      <w:bookmarkStart w:id="4" w:name="_Toc180967736"/>
      <w:r w:rsidRPr="00497542">
        <w:rPr>
          <w:rFonts w:eastAsia="Times New Roman"/>
        </w:rPr>
        <w:t>4.1. Quality Standards</w:t>
      </w:r>
      <w:bookmarkEnd w:id="4"/>
    </w:p>
    <w:p w14:paraId="7325193E" w14:textId="77777777" w:rsidR="00C15121" w:rsidRPr="00497542" w:rsidRDefault="00C15121" w:rsidP="00ED5198">
      <w:pPr>
        <w:numPr>
          <w:ilvl w:val="0"/>
          <w:numId w:val="3"/>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ensures that all resources and facilities adhere to high standards of quality, safety, and functionality. Regular assessments will be conducted to maintain compliance with regulatory requirements and international best practices.</w:t>
      </w:r>
    </w:p>
    <w:p w14:paraId="7146420D" w14:textId="77777777" w:rsidR="00C15121" w:rsidRPr="00497542" w:rsidRDefault="00C15121" w:rsidP="00ED5198">
      <w:pPr>
        <w:pStyle w:val="Heading2"/>
        <w:rPr>
          <w:rFonts w:eastAsia="Times New Roman"/>
        </w:rPr>
      </w:pPr>
      <w:bookmarkStart w:id="5" w:name="_Toc180967737"/>
      <w:r w:rsidRPr="00497542">
        <w:rPr>
          <w:rFonts w:eastAsia="Times New Roman"/>
        </w:rPr>
        <w:t>4.2. Accessibility and Inclusivity</w:t>
      </w:r>
      <w:bookmarkEnd w:id="5"/>
    </w:p>
    <w:p w14:paraId="2F60E788" w14:textId="77777777" w:rsidR="00C15121" w:rsidRPr="00497542" w:rsidRDefault="00C15121" w:rsidP="00ED5198">
      <w:pPr>
        <w:numPr>
          <w:ilvl w:val="0"/>
          <w:numId w:val="4"/>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Resources and facilities will be designed and managed to ensure they are accessible to all members of the university community, including individuals with disabilities and those from diverse backgrounds.</w:t>
      </w:r>
    </w:p>
    <w:p w14:paraId="339F1B28" w14:textId="77777777" w:rsidR="00C15121" w:rsidRPr="00497542" w:rsidRDefault="00C15121" w:rsidP="00ED5198">
      <w:pPr>
        <w:pStyle w:val="Heading2"/>
        <w:rPr>
          <w:rFonts w:eastAsia="Times New Roman"/>
        </w:rPr>
      </w:pPr>
      <w:bookmarkStart w:id="6" w:name="_Toc180967738"/>
      <w:r w:rsidRPr="00497542">
        <w:rPr>
          <w:rFonts w:eastAsia="Times New Roman"/>
        </w:rPr>
        <w:t>4.3. Sustainability</w:t>
      </w:r>
      <w:bookmarkEnd w:id="6"/>
    </w:p>
    <w:p w14:paraId="79E1A3B2" w14:textId="77777777" w:rsidR="00C15121" w:rsidRPr="00497542" w:rsidRDefault="00C15121" w:rsidP="00ED5198">
      <w:pPr>
        <w:numPr>
          <w:ilvl w:val="0"/>
          <w:numId w:val="5"/>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is committed to sustainable practices in the management and use of its resources and facilities. Efforts will be made to minimize the environmental impact of campus operations, including energy use, waste management, and sustainable building practices.</w:t>
      </w:r>
    </w:p>
    <w:p w14:paraId="6051DF85" w14:textId="77777777" w:rsidR="00C15121" w:rsidRPr="00497542" w:rsidRDefault="00C15121" w:rsidP="00ED5198">
      <w:pPr>
        <w:pStyle w:val="Heading2"/>
        <w:rPr>
          <w:rFonts w:eastAsia="Times New Roman"/>
        </w:rPr>
      </w:pPr>
      <w:bookmarkStart w:id="7" w:name="_Toc180967739"/>
      <w:r w:rsidRPr="00497542">
        <w:rPr>
          <w:rFonts w:eastAsia="Times New Roman"/>
        </w:rPr>
        <w:t>4.4. Continuous Improvement</w:t>
      </w:r>
      <w:bookmarkEnd w:id="7"/>
    </w:p>
    <w:p w14:paraId="3FF8D4E5" w14:textId="77777777" w:rsidR="00C15121" w:rsidRPr="00497542" w:rsidRDefault="00C15121" w:rsidP="00ED5198">
      <w:pPr>
        <w:numPr>
          <w:ilvl w:val="0"/>
          <w:numId w:val="6"/>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Facilities and resources will be regularly evaluated for relevance and effectiveness, with feedback from students, staff, and external stakeholders used to drive improvements.</w:t>
      </w:r>
    </w:p>
    <w:p w14:paraId="480C3E64" w14:textId="4B414CB9" w:rsidR="00C15121" w:rsidRPr="00497542" w:rsidRDefault="00C15121" w:rsidP="00C15121">
      <w:pPr>
        <w:spacing w:after="0" w:line="240" w:lineRule="auto"/>
        <w:rPr>
          <w:rFonts w:eastAsia="Times New Roman" w:cstheme="minorHAnsi"/>
          <w:sz w:val="24"/>
          <w:szCs w:val="24"/>
        </w:rPr>
      </w:pPr>
    </w:p>
    <w:p w14:paraId="18C25D12" w14:textId="77777777" w:rsidR="00C15121" w:rsidRPr="00497542" w:rsidRDefault="00C15121" w:rsidP="00ED5198">
      <w:pPr>
        <w:pStyle w:val="Heading1"/>
        <w:rPr>
          <w:rFonts w:eastAsia="Times New Roman"/>
        </w:rPr>
      </w:pPr>
      <w:bookmarkStart w:id="8" w:name="_Toc180967740"/>
      <w:r w:rsidRPr="00497542">
        <w:rPr>
          <w:rFonts w:eastAsia="Times New Roman"/>
        </w:rPr>
        <w:t>5. Procedures for Quality Assurance of Resources and Facilities</w:t>
      </w:r>
      <w:bookmarkEnd w:id="8"/>
    </w:p>
    <w:p w14:paraId="73792DBD" w14:textId="77777777" w:rsidR="00C15121" w:rsidRPr="00497542" w:rsidRDefault="00C15121" w:rsidP="00ED5198">
      <w:pPr>
        <w:pStyle w:val="Heading2"/>
        <w:rPr>
          <w:rFonts w:eastAsia="Times New Roman"/>
        </w:rPr>
      </w:pPr>
      <w:bookmarkStart w:id="9" w:name="_Toc180967741"/>
      <w:r w:rsidRPr="00497542">
        <w:rPr>
          <w:rFonts w:eastAsia="Times New Roman"/>
        </w:rPr>
        <w:t>5.1. Regular Audits and Reviews</w:t>
      </w:r>
      <w:bookmarkEnd w:id="9"/>
    </w:p>
    <w:p w14:paraId="0ADCA054" w14:textId="77777777" w:rsidR="00C15121" w:rsidRPr="00497542" w:rsidRDefault="00C15121" w:rsidP="00C15121">
      <w:pPr>
        <w:numPr>
          <w:ilvl w:val="0"/>
          <w:numId w:val="7"/>
        </w:numPr>
        <w:spacing w:before="100" w:beforeAutospacing="1" w:after="100" w:afterAutospacing="1" w:line="240" w:lineRule="auto"/>
        <w:rPr>
          <w:rFonts w:eastAsia="Times New Roman" w:cstheme="minorHAnsi"/>
          <w:sz w:val="24"/>
          <w:szCs w:val="24"/>
        </w:rPr>
      </w:pPr>
      <w:r w:rsidRPr="00497542">
        <w:rPr>
          <w:rFonts w:eastAsia="Times New Roman" w:cstheme="minorHAnsi"/>
          <w:sz w:val="24"/>
          <w:szCs w:val="24"/>
        </w:rPr>
        <w:t>The University will conduct regular audits of its facilities and resources to ensure they meet required standards. This includes both internal reviews and, where necessary, external assessments by accrediting or regulatory bodies.</w:t>
      </w:r>
    </w:p>
    <w:p w14:paraId="4CFF62F3" w14:textId="77777777" w:rsidR="00C15121" w:rsidRPr="00497542" w:rsidRDefault="00C15121" w:rsidP="00ED5198">
      <w:pPr>
        <w:pStyle w:val="Heading2"/>
        <w:rPr>
          <w:rFonts w:eastAsia="Times New Roman"/>
        </w:rPr>
      </w:pPr>
      <w:bookmarkStart w:id="10" w:name="_Toc180967742"/>
      <w:r w:rsidRPr="00497542">
        <w:rPr>
          <w:rFonts w:eastAsia="Times New Roman"/>
        </w:rPr>
        <w:t>5.2. Maintenance and Upgrades</w:t>
      </w:r>
      <w:bookmarkEnd w:id="10"/>
    </w:p>
    <w:p w14:paraId="7C83D319" w14:textId="77777777" w:rsidR="00C15121" w:rsidRPr="00497542" w:rsidRDefault="00C15121" w:rsidP="00ED5198">
      <w:pPr>
        <w:numPr>
          <w:ilvl w:val="0"/>
          <w:numId w:val="8"/>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All facilities, including classrooms, laboratories, and study areas, will be maintained to ensure they remain in good condition. A system for reporting and addressing maintenance issues will be in place to ensure prompt resolution.</w:t>
      </w:r>
    </w:p>
    <w:p w14:paraId="68466994" w14:textId="77777777" w:rsidR="00C15121" w:rsidRPr="00497542" w:rsidRDefault="00C15121" w:rsidP="00ED5198">
      <w:pPr>
        <w:numPr>
          <w:ilvl w:val="0"/>
          <w:numId w:val="8"/>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Where necessary, facilities will be upgraded to meet the changing needs of academic programs, research initiatives, and student requirements.</w:t>
      </w:r>
    </w:p>
    <w:p w14:paraId="704D4A93" w14:textId="77777777" w:rsidR="00C15121" w:rsidRPr="00497542" w:rsidRDefault="00C15121" w:rsidP="00ED5198">
      <w:pPr>
        <w:pStyle w:val="Heading2"/>
        <w:rPr>
          <w:rFonts w:eastAsia="Times New Roman"/>
        </w:rPr>
      </w:pPr>
      <w:bookmarkStart w:id="11" w:name="_Toc180967743"/>
      <w:r w:rsidRPr="00497542">
        <w:rPr>
          <w:rFonts w:eastAsia="Times New Roman"/>
        </w:rPr>
        <w:lastRenderedPageBreak/>
        <w:t>5.3. Feedback Mechanisms</w:t>
      </w:r>
      <w:bookmarkEnd w:id="11"/>
    </w:p>
    <w:p w14:paraId="6032D440" w14:textId="77777777" w:rsidR="00C15121" w:rsidRPr="00497542" w:rsidRDefault="00C15121" w:rsidP="00C15121">
      <w:pPr>
        <w:numPr>
          <w:ilvl w:val="0"/>
          <w:numId w:val="9"/>
        </w:numPr>
        <w:spacing w:before="100" w:beforeAutospacing="1" w:after="100" w:afterAutospacing="1" w:line="240" w:lineRule="auto"/>
        <w:rPr>
          <w:rFonts w:eastAsia="Times New Roman" w:cstheme="minorHAnsi"/>
          <w:sz w:val="24"/>
          <w:szCs w:val="24"/>
        </w:rPr>
      </w:pPr>
      <w:r w:rsidRPr="00497542">
        <w:rPr>
          <w:rFonts w:eastAsia="Times New Roman" w:cstheme="minorHAnsi"/>
          <w:sz w:val="24"/>
          <w:szCs w:val="24"/>
        </w:rPr>
        <w:t>The University will establish formal feedback mechanisms that allow students, faculty, and staff to report any issues or suggest improvements related to resources and facilities.</w:t>
      </w:r>
    </w:p>
    <w:p w14:paraId="190575FE" w14:textId="77777777" w:rsidR="00C15121" w:rsidRPr="00497542" w:rsidRDefault="00C15121" w:rsidP="00C15121">
      <w:pPr>
        <w:numPr>
          <w:ilvl w:val="0"/>
          <w:numId w:val="9"/>
        </w:numPr>
        <w:spacing w:before="100" w:beforeAutospacing="1" w:after="100" w:afterAutospacing="1" w:line="240" w:lineRule="auto"/>
        <w:rPr>
          <w:rFonts w:eastAsia="Times New Roman" w:cstheme="minorHAnsi"/>
          <w:sz w:val="24"/>
          <w:szCs w:val="24"/>
        </w:rPr>
      </w:pPr>
      <w:r w:rsidRPr="00497542">
        <w:rPr>
          <w:rFonts w:eastAsia="Times New Roman" w:cstheme="minorHAnsi"/>
          <w:sz w:val="24"/>
          <w:szCs w:val="24"/>
        </w:rPr>
        <w:t>Periodic surveys and focus groups will be conducted to gather insights on the quality of resources and identify areas for enhancement.</w:t>
      </w:r>
    </w:p>
    <w:p w14:paraId="018C437B" w14:textId="77777777" w:rsidR="00C15121" w:rsidRPr="00497542" w:rsidRDefault="00C15121" w:rsidP="00ED5198">
      <w:pPr>
        <w:pStyle w:val="Heading2"/>
        <w:rPr>
          <w:rFonts w:eastAsia="Times New Roman"/>
        </w:rPr>
      </w:pPr>
      <w:bookmarkStart w:id="12" w:name="_Toc180967744"/>
      <w:r w:rsidRPr="00497542">
        <w:rPr>
          <w:rFonts w:eastAsia="Times New Roman"/>
        </w:rPr>
        <w:t>5.4. Resource Allocation</w:t>
      </w:r>
      <w:bookmarkEnd w:id="12"/>
    </w:p>
    <w:p w14:paraId="7D056D9E" w14:textId="77777777" w:rsidR="00C15121" w:rsidRPr="00497542" w:rsidRDefault="00C15121" w:rsidP="00ED5198">
      <w:pPr>
        <w:numPr>
          <w:ilvl w:val="0"/>
          <w:numId w:val="10"/>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Resources will be allocated fairly and transparently, ensuring that all academic programs and departments have adequate access to the tools and facilities they need for teaching, research, and support services.</w:t>
      </w:r>
    </w:p>
    <w:p w14:paraId="544B3F7C" w14:textId="77777777" w:rsidR="00C15121" w:rsidRPr="00497542" w:rsidRDefault="00C15121" w:rsidP="00ED5198">
      <w:pPr>
        <w:numPr>
          <w:ilvl w:val="0"/>
          <w:numId w:val="10"/>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Prioritization for resource upgrades or expansion will be based on academic needs, research output, student feedback, and institutional priorities.</w:t>
      </w:r>
    </w:p>
    <w:p w14:paraId="65CF4B71" w14:textId="77777777" w:rsidR="00C15121" w:rsidRPr="00497542" w:rsidRDefault="00C15121" w:rsidP="00ED5198">
      <w:pPr>
        <w:pStyle w:val="Heading2"/>
        <w:rPr>
          <w:rFonts w:eastAsia="Times New Roman"/>
        </w:rPr>
      </w:pPr>
      <w:bookmarkStart w:id="13" w:name="_Toc180967745"/>
      <w:r w:rsidRPr="00497542">
        <w:rPr>
          <w:rFonts w:eastAsia="Times New Roman"/>
        </w:rPr>
        <w:t>5.5. Safety and Compliance</w:t>
      </w:r>
      <w:bookmarkEnd w:id="13"/>
    </w:p>
    <w:p w14:paraId="5C8E0E42" w14:textId="77777777" w:rsidR="00C15121" w:rsidRPr="00497542" w:rsidRDefault="00C15121" w:rsidP="00ED5198">
      <w:pPr>
        <w:numPr>
          <w:ilvl w:val="0"/>
          <w:numId w:val="1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implement rigorous safety protocols across all facilities, ensuring compliance with health and safety regulations. This includes fire safety, laboratory safety, and overall campus security measures.</w:t>
      </w:r>
    </w:p>
    <w:p w14:paraId="50C5DC82" w14:textId="77777777" w:rsidR="00C15121" w:rsidRPr="00497542" w:rsidRDefault="00C15121" w:rsidP="00ED5198">
      <w:pPr>
        <w:numPr>
          <w:ilvl w:val="0"/>
          <w:numId w:val="1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Regular safety drills and inspections will be conducted to ensure preparedness for emergencies.</w:t>
      </w:r>
    </w:p>
    <w:p w14:paraId="51A93B98" w14:textId="79EBD12E" w:rsidR="00C15121" w:rsidRPr="00497542" w:rsidRDefault="00C15121" w:rsidP="00C15121">
      <w:pPr>
        <w:spacing w:after="0" w:line="240" w:lineRule="auto"/>
        <w:rPr>
          <w:rFonts w:eastAsia="Times New Roman" w:cstheme="minorHAnsi"/>
          <w:sz w:val="24"/>
          <w:szCs w:val="24"/>
        </w:rPr>
      </w:pPr>
    </w:p>
    <w:p w14:paraId="64602449" w14:textId="77777777" w:rsidR="00C15121" w:rsidRPr="00497542" w:rsidRDefault="00C15121" w:rsidP="00ED5198">
      <w:pPr>
        <w:pStyle w:val="Heading1"/>
        <w:rPr>
          <w:rFonts w:eastAsia="Times New Roman"/>
        </w:rPr>
      </w:pPr>
      <w:bookmarkStart w:id="14" w:name="_Toc180967746"/>
      <w:r w:rsidRPr="00497542">
        <w:rPr>
          <w:rFonts w:eastAsia="Times New Roman"/>
        </w:rPr>
        <w:t>6. Digital Resources and IT Infrastructure</w:t>
      </w:r>
      <w:bookmarkEnd w:id="14"/>
    </w:p>
    <w:p w14:paraId="575CFE34" w14:textId="77777777" w:rsidR="00C15121" w:rsidRPr="00497542" w:rsidRDefault="00C15121" w:rsidP="00ED5198">
      <w:pPr>
        <w:pStyle w:val="Heading2"/>
        <w:rPr>
          <w:rFonts w:eastAsia="Times New Roman"/>
        </w:rPr>
      </w:pPr>
      <w:bookmarkStart w:id="15" w:name="_Toc180967747"/>
      <w:r w:rsidRPr="00497542">
        <w:rPr>
          <w:rFonts w:eastAsia="Times New Roman"/>
        </w:rPr>
        <w:t>6.1. Digital Learning Platforms</w:t>
      </w:r>
      <w:bookmarkEnd w:id="15"/>
    </w:p>
    <w:p w14:paraId="2590EA22" w14:textId="77777777" w:rsidR="00C15121" w:rsidRPr="00497542" w:rsidRDefault="00C15121" w:rsidP="00ED5198">
      <w:pPr>
        <w:numPr>
          <w:ilvl w:val="0"/>
          <w:numId w:val="1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maintain up-to-date and accessible online learning platforms, ensuring students and staff can effectively engage in blended or fully online learning environments.</w:t>
      </w:r>
    </w:p>
    <w:p w14:paraId="4372DAA4" w14:textId="77777777" w:rsidR="00C15121" w:rsidRPr="00497542" w:rsidRDefault="00C15121" w:rsidP="00ED5198">
      <w:pPr>
        <w:numPr>
          <w:ilvl w:val="0"/>
          <w:numId w:val="12"/>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Regular training will be offered to faculty and students to ensure optimal use of digital resources.</w:t>
      </w:r>
    </w:p>
    <w:p w14:paraId="283A9993" w14:textId="77777777" w:rsidR="00C15121" w:rsidRPr="00497542" w:rsidRDefault="00C15121" w:rsidP="00ED5198">
      <w:pPr>
        <w:pStyle w:val="Heading2"/>
        <w:rPr>
          <w:rFonts w:eastAsia="Times New Roman"/>
        </w:rPr>
      </w:pPr>
      <w:bookmarkStart w:id="16" w:name="_Toc180967748"/>
      <w:r w:rsidRPr="00497542">
        <w:rPr>
          <w:rFonts w:eastAsia="Times New Roman"/>
        </w:rPr>
        <w:t>6.2. IT Support and Resources</w:t>
      </w:r>
      <w:bookmarkEnd w:id="16"/>
    </w:p>
    <w:p w14:paraId="6B2267A1" w14:textId="77777777" w:rsidR="00C15121" w:rsidRPr="00497542" w:rsidRDefault="00C15121" w:rsidP="00ED5198">
      <w:pPr>
        <w:numPr>
          <w:ilvl w:val="0"/>
          <w:numId w:val="13"/>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Adequate IT support will be available to assist students and staff with technical issues. This includes support for both academic and administrative technology needs.</w:t>
      </w:r>
    </w:p>
    <w:p w14:paraId="21EE736A" w14:textId="77777777" w:rsidR="00C15121" w:rsidRPr="00497542" w:rsidRDefault="00C15121" w:rsidP="00ED5198">
      <w:pPr>
        <w:numPr>
          <w:ilvl w:val="0"/>
          <w:numId w:val="13"/>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ensure that its IT infrastructure is robust, secure, and scalable to support increasing demand, particularly for online learning and research activities.</w:t>
      </w:r>
    </w:p>
    <w:p w14:paraId="53CE80F3" w14:textId="77777777" w:rsidR="00C15121" w:rsidRPr="00497542" w:rsidRDefault="00C15121" w:rsidP="00ED5198">
      <w:pPr>
        <w:pStyle w:val="Heading2"/>
        <w:rPr>
          <w:rFonts w:eastAsia="Times New Roman"/>
        </w:rPr>
      </w:pPr>
      <w:bookmarkStart w:id="17" w:name="_Toc180967749"/>
      <w:r w:rsidRPr="00497542">
        <w:rPr>
          <w:rFonts w:eastAsia="Times New Roman"/>
        </w:rPr>
        <w:lastRenderedPageBreak/>
        <w:t>6.3. Data Protection and Privacy</w:t>
      </w:r>
      <w:bookmarkEnd w:id="17"/>
    </w:p>
    <w:p w14:paraId="3435C325" w14:textId="77777777" w:rsidR="00C15121" w:rsidRPr="00497542" w:rsidRDefault="00C15121" w:rsidP="00ED5198">
      <w:pPr>
        <w:numPr>
          <w:ilvl w:val="0"/>
          <w:numId w:val="14"/>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adhere to data protection regulations and best practices, ensuring that personal and academic data are securely managed and stored. A data privacy policy will be communicated to all members of the university community.</w:t>
      </w:r>
    </w:p>
    <w:p w14:paraId="0D8C2641" w14:textId="379CF319" w:rsidR="00C15121" w:rsidRPr="00497542" w:rsidRDefault="00C15121" w:rsidP="00C15121">
      <w:pPr>
        <w:spacing w:after="0" w:line="240" w:lineRule="auto"/>
        <w:rPr>
          <w:rFonts w:eastAsia="Times New Roman" w:cstheme="minorHAnsi"/>
          <w:sz w:val="24"/>
          <w:szCs w:val="24"/>
        </w:rPr>
      </w:pPr>
    </w:p>
    <w:p w14:paraId="54A44DD9" w14:textId="77777777" w:rsidR="00C15121" w:rsidRPr="00497542" w:rsidRDefault="00C15121" w:rsidP="00ED5198">
      <w:pPr>
        <w:pStyle w:val="Heading1"/>
        <w:rPr>
          <w:rFonts w:eastAsia="Times New Roman"/>
        </w:rPr>
      </w:pPr>
      <w:bookmarkStart w:id="18" w:name="_Toc180967750"/>
      <w:r w:rsidRPr="00497542">
        <w:rPr>
          <w:rFonts w:eastAsia="Times New Roman"/>
        </w:rPr>
        <w:t>7. Research Facilities and Resources</w:t>
      </w:r>
      <w:bookmarkEnd w:id="18"/>
    </w:p>
    <w:p w14:paraId="3E4B6D8D" w14:textId="77777777" w:rsidR="00C15121" w:rsidRPr="00497542" w:rsidRDefault="00C15121" w:rsidP="00ED5198">
      <w:pPr>
        <w:pStyle w:val="Heading2"/>
        <w:rPr>
          <w:rFonts w:eastAsia="Times New Roman"/>
        </w:rPr>
      </w:pPr>
      <w:bookmarkStart w:id="19" w:name="_Toc180967751"/>
      <w:r w:rsidRPr="00497542">
        <w:rPr>
          <w:rFonts w:eastAsia="Times New Roman"/>
        </w:rPr>
        <w:t>7.1. Availability of Research Tools</w:t>
      </w:r>
      <w:bookmarkEnd w:id="19"/>
    </w:p>
    <w:p w14:paraId="6EB68D64" w14:textId="77777777" w:rsidR="00C15121" w:rsidRPr="00497542" w:rsidRDefault="00C15121" w:rsidP="00ED5198">
      <w:pPr>
        <w:numPr>
          <w:ilvl w:val="0"/>
          <w:numId w:val="15"/>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ensure that researchers have access to modern and well-maintained laboratories, libraries, and other research facilities.</w:t>
      </w:r>
    </w:p>
    <w:p w14:paraId="6C5B26FE" w14:textId="77777777" w:rsidR="00C15121" w:rsidRPr="00497542" w:rsidRDefault="00C15121" w:rsidP="00ED5198">
      <w:pPr>
        <w:numPr>
          <w:ilvl w:val="0"/>
          <w:numId w:val="15"/>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Research resources, including databases, journals, and specialized software, will be regularly updated to support cutting-edge research activities.</w:t>
      </w:r>
    </w:p>
    <w:p w14:paraId="7FF3CD3D" w14:textId="77777777" w:rsidR="00C15121" w:rsidRPr="00497542" w:rsidRDefault="00C15121" w:rsidP="00ED5198">
      <w:pPr>
        <w:pStyle w:val="Heading2"/>
        <w:rPr>
          <w:rFonts w:eastAsia="Times New Roman"/>
        </w:rPr>
      </w:pPr>
      <w:bookmarkStart w:id="20" w:name="_Toc180967752"/>
      <w:r w:rsidRPr="00497542">
        <w:rPr>
          <w:rFonts w:eastAsia="Times New Roman"/>
        </w:rPr>
        <w:t>7.2. Collaboration and Innovation</w:t>
      </w:r>
      <w:bookmarkEnd w:id="20"/>
    </w:p>
    <w:p w14:paraId="47159DD0" w14:textId="77777777" w:rsidR="00C15121" w:rsidRPr="00497542" w:rsidRDefault="00C15121" w:rsidP="00ED5198">
      <w:pPr>
        <w:numPr>
          <w:ilvl w:val="0"/>
          <w:numId w:val="16"/>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encourage collaboration by creating shared research spaces and innovation hubs where interdisciplinary research and industry partnerships can flourish.</w:t>
      </w:r>
    </w:p>
    <w:p w14:paraId="235409C2" w14:textId="77777777" w:rsidR="00C15121" w:rsidRPr="00497542" w:rsidRDefault="00C15121" w:rsidP="00ED5198">
      <w:pPr>
        <w:numPr>
          <w:ilvl w:val="0"/>
          <w:numId w:val="16"/>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Support will be provided for grant applications, intellectual property management, and commercialization of research outputs.</w:t>
      </w:r>
    </w:p>
    <w:p w14:paraId="6A071F1B" w14:textId="64DC0DE8" w:rsidR="00C15121" w:rsidRPr="00497542" w:rsidRDefault="00C15121" w:rsidP="00C15121">
      <w:pPr>
        <w:spacing w:after="0" w:line="240" w:lineRule="auto"/>
        <w:rPr>
          <w:rFonts w:eastAsia="Times New Roman" w:cstheme="minorHAnsi"/>
          <w:sz w:val="24"/>
          <w:szCs w:val="24"/>
        </w:rPr>
      </w:pPr>
    </w:p>
    <w:p w14:paraId="2E414186" w14:textId="77777777" w:rsidR="00C15121" w:rsidRPr="00497542" w:rsidRDefault="00C15121" w:rsidP="00ED5198">
      <w:pPr>
        <w:pStyle w:val="Heading1"/>
        <w:rPr>
          <w:rFonts w:eastAsia="Times New Roman"/>
        </w:rPr>
      </w:pPr>
      <w:bookmarkStart w:id="21" w:name="_Toc180967753"/>
      <w:r w:rsidRPr="00497542">
        <w:rPr>
          <w:rFonts w:eastAsia="Times New Roman"/>
        </w:rPr>
        <w:t>8. Health, Safety, and Accessibility</w:t>
      </w:r>
      <w:bookmarkEnd w:id="21"/>
    </w:p>
    <w:p w14:paraId="187B8F0B" w14:textId="77777777" w:rsidR="00C15121" w:rsidRPr="00ED5198" w:rsidRDefault="00C15121" w:rsidP="00ED5198">
      <w:pPr>
        <w:pStyle w:val="Heading2"/>
        <w:rPr>
          <w:rFonts w:eastAsia="Times New Roman"/>
          <w:highlight w:val="yellow"/>
        </w:rPr>
      </w:pPr>
      <w:bookmarkStart w:id="22" w:name="_Toc180967754"/>
      <w:r w:rsidRPr="00497542">
        <w:rPr>
          <w:rFonts w:eastAsia="Times New Roman"/>
        </w:rPr>
        <w:t xml:space="preserve">8.1. Health and </w:t>
      </w:r>
      <w:r w:rsidRPr="00ED5198">
        <w:rPr>
          <w:rFonts w:eastAsia="Times New Roman"/>
          <w:highlight w:val="yellow"/>
        </w:rPr>
        <w:t>Wellness Services</w:t>
      </w:r>
      <w:bookmarkEnd w:id="22"/>
    </w:p>
    <w:p w14:paraId="572B58E9" w14:textId="77777777" w:rsidR="00C15121" w:rsidRPr="00497542" w:rsidRDefault="00C15121" w:rsidP="00C15121">
      <w:pPr>
        <w:numPr>
          <w:ilvl w:val="0"/>
          <w:numId w:val="17"/>
        </w:numPr>
        <w:spacing w:before="100" w:beforeAutospacing="1" w:after="100" w:afterAutospacing="1" w:line="240" w:lineRule="auto"/>
        <w:rPr>
          <w:rFonts w:eastAsia="Times New Roman" w:cstheme="minorHAnsi"/>
          <w:sz w:val="24"/>
          <w:szCs w:val="24"/>
        </w:rPr>
      </w:pPr>
      <w:r w:rsidRPr="00ED5198">
        <w:rPr>
          <w:rFonts w:eastAsia="Times New Roman" w:cstheme="minorHAnsi"/>
          <w:sz w:val="24"/>
          <w:szCs w:val="24"/>
          <w:highlight w:val="yellow"/>
        </w:rPr>
        <w:t>The University will offer health and wellness services, including counseling and medical support, to ensure the</w:t>
      </w:r>
      <w:r w:rsidRPr="00497542">
        <w:rPr>
          <w:rFonts w:eastAsia="Times New Roman" w:cstheme="minorHAnsi"/>
          <w:sz w:val="24"/>
          <w:szCs w:val="24"/>
        </w:rPr>
        <w:t xml:space="preserve"> well-being of students and staff.</w:t>
      </w:r>
    </w:p>
    <w:p w14:paraId="34FEBA29" w14:textId="77777777" w:rsidR="00C15121" w:rsidRPr="00497542" w:rsidRDefault="00C15121" w:rsidP="00C15121">
      <w:pPr>
        <w:numPr>
          <w:ilvl w:val="0"/>
          <w:numId w:val="17"/>
        </w:numPr>
        <w:spacing w:before="100" w:beforeAutospacing="1" w:after="100" w:afterAutospacing="1" w:line="240" w:lineRule="auto"/>
        <w:rPr>
          <w:rFonts w:eastAsia="Times New Roman" w:cstheme="minorHAnsi"/>
          <w:sz w:val="24"/>
          <w:szCs w:val="24"/>
        </w:rPr>
      </w:pPr>
      <w:r w:rsidRPr="00497542">
        <w:rPr>
          <w:rFonts w:eastAsia="Times New Roman" w:cstheme="minorHAnsi"/>
          <w:sz w:val="24"/>
          <w:szCs w:val="24"/>
        </w:rPr>
        <w:t>Health services will be available on campus, and regular health awareness programs will be conducted.</w:t>
      </w:r>
    </w:p>
    <w:p w14:paraId="2B3896BB" w14:textId="77777777" w:rsidR="00C15121" w:rsidRPr="00497542" w:rsidRDefault="00C15121" w:rsidP="00ED5198">
      <w:pPr>
        <w:pStyle w:val="Heading2"/>
        <w:rPr>
          <w:rFonts w:eastAsia="Times New Roman"/>
        </w:rPr>
      </w:pPr>
      <w:bookmarkStart w:id="23" w:name="_Toc180967755"/>
      <w:r w:rsidRPr="00497542">
        <w:rPr>
          <w:rFonts w:eastAsia="Times New Roman"/>
        </w:rPr>
        <w:t>8.2. Safety Measures</w:t>
      </w:r>
      <w:bookmarkEnd w:id="23"/>
    </w:p>
    <w:p w14:paraId="34FB43A0" w14:textId="77777777" w:rsidR="00C15121" w:rsidRPr="00497542" w:rsidRDefault="00C15121" w:rsidP="00ED5198">
      <w:pPr>
        <w:numPr>
          <w:ilvl w:val="0"/>
          <w:numId w:val="18"/>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implement and maintain effective safety and security measures, including surveillance, campus patrols, and emergency response systems.</w:t>
      </w:r>
    </w:p>
    <w:p w14:paraId="265E13BD" w14:textId="77777777" w:rsidR="00C15121" w:rsidRPr="00497542" w:rsidRDefault="00C15121" w:rsidP="00ED5198">
      <w:pPr>
        <w:numPr>
          <w:ilvl w:val="0"/>
          <w:numId w:val="18"/>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Comprehensive safety training will be provided for staff and students, particularly for those working in high-risk environments such as laboratories.</w:t>
      </w:r>
    </w:p>
    <w:p w14:paraId="0227FF7F" w14:textId="77777777" w:rsidR="00C15121" w:rsidRPr="00497542" w:rsidRDefault="00C15121" w:rsidP="00ED5198">
      <w:pPr>
        <w:pStyle w:val="Heading2"/>
        <w:rPr>
          <w:rFonts w:eastAsia="Times New Roman"/>
        </w:rPr>
      </w:pPr>
      <w:bookmarkStart w:id="24" w:name="_Toc180967756"/>
      <w:r w:rsidRPr="00497542">
        <w:rPr>
          <w:rFonts w:eastAsia="Times New Roman"/>
        </w:rPr>
        <w:lastRenderedPageBreak/>
        <w:t>8.3. Accessibility</w:t>
      </w:r>
      <w:bookmarkEnd w:id="24"/>
    </w:p>
    <w:p w14:paraId="538169B3" w14:textId="77777777" w:rsidR="00C15121" w:rsidRPr="00497542" w:rsidRDefault="00C15121" w:rsidP="00ED5198">
      <w:pPr>
        <w:numPr>
          <w:ilvl w:val="0"/>
          <w:numId w:val="19"/>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All facilities will be designed or retrofitted to ensure they are fully accessible to students and staff with disabilities.</w:t>
      </w:r>
    </w:p>
    <w:p w14:paraId="26C0EB92" w14:textId="77777777" w:rsidR="00C15121" w:rsidRPr="00497542" w:rsidRDefault="00C15121" w:rsidP="00ED5198">
      <w:pPr>
        <w:numPr>
          <w:ilvl w:val="0"/>
          <w:numId w:val="19"/>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provide specialized equipment, services, and support to ensure that individuals with special needs can fully participate in academic and extracurricular activities.</w:t>
      </w:r>
    </w:p>
    <w:p w14:paraId="521A0DF7" w14:textId="7A2AFCD8" w:rsidR="00C15121" w:rsidRPr="00497542" w:rsidRDefault="00C15121" w:rsidP="00C15121">
      <w:pPr>
        <w:spacing w:after="0" w:line="240" w:lineRule="auto"/>
        <w:rPr>
          <w:rFonts w:eastAsia="Times New Roman" w:cstheme="minorHAnsi"/>
          <w:sz w:val="24"/>
          <w:szCs w:val="24"/>
        </w:rPr>
      </w:pPr>
    </w:p>
    <w:p w14:paraId="4C9692F9" w14:textId="77777777" w:rsidR="00C15121" w:rsidRPr="00497542" w:rsidRDefault="00C15121" w:rsidP="00ED5198">
      <w:pPr>
        <w:pStyle w:val="Heading1"/>
        <w:rPr>
          <w:rFonts w:eastAsia="Times New Roman"/>
        </w:rPr>
      </w:pPr>
      <w:bookmarkStart w:id="25" w:name="_Toc180967757"/>
      <w:r w:rsidRPr="00497542">
        <w:rPr>
          <w:rFonts w:eastAsia="Times New Roman"/>
        </w:rPr>
        <w:t>9. Continuous Improvement and Innovation</w:t>
      </w:r>
      <w:bookmarkEnd w:id="25"/>
    </w:p>
    <w:p w14:paraId="479136EB" w14:textId="77777777" w:rsidR="00C15121" w:rsidRPr="00497542" w:rsidRDefault="00C15121" w:rsidP="00ED5198">
      <w:pPr>
        <w:pStyle w:val="Heading2"/>
        <w:rPr>
          <w:rFonts w:eastAsia="Times New Roman"/>
        </w:rPr>
      </w:pPr>
      <w:bookmarkStart w:id="26" w:name="_Toc180967758"/>
      <w:r w:rsidRPr="00497542">
        <w:rPr>
          <w:rFonts w:eastAsia="Times New Roman"/>
        </w:rPr>
        <w:t>9.1. Innovation in Teaching and Learning Spaces</w:t>
      </w:r>
      <w:bookmarkEnd w:id="26"/>
    </w:p>
    <w:p w14:paraId="28F4B4C2" w14:textId="77777777" w:rsidR="00C15121" w:rsidRPr="00497542" w:rsidRDefault="00C15121" w:rsidP="00ED5198">
      <w:pPr>
        <w:numPr>
          <w:ilvl w:val="0"/>
          <w:numId w:val="20"/>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actively invest in innovative teaching and learning spaces, such as smart classrooms, collaborative workspaces, and flexible learning environments that enhance student engagement.</w:t>
      </w:r>
    </w:p>
    <w:p w14:paraId="4EC732B8" w14:textId="77777777" w:rsidR="00C15121" w:rsidRPr="00497542" w:rsidRDefault="00C15121" w:rsidP="00ED5198">
      <w:pPr>
        <w:pStyle w:val="Heading2"/>
        <w:rPr>
          <w:rFonts w:eastAsia="Times New Roman"/>
        </w:rPr>
      </w:pPr>
      <w:bookmarkStart w:id="27" w:name="_Toc180967759"/>
      <w:r w:rsidRPr="00497542">
        <w:rPr>
          <w:rFonts w:eastAsia="Times New Roman"/>
        </w:rPr>
        <w:t>9.2. Benchmarking and Best Practices</w:t>
      </w:r>
      <w:bookmarkEnd w:id="27"/>
    </w:p>
    <w:p w14:paraId="4AF1982E" w14:textId="77777777" w:rsidR="00C15121" w:rsidRPr="00497542" w:rsidRDefault="00C15121" w:rsidP="00ED5198">
      <w:pPr>
        <w:numPr>
          <w:ilvl w:val="0"/>
          <w:numId w:val="21"/>
        </w:num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The University will regularly benchmark its facilities and resource management practices against national and international standards, adopting best practices to remain competitive and innovative.</w:t>
      </w:r>
    </w:p>
    <w:p w14:paraId="316806A9" w14:textId="47B85103" w:rsidR="00C15121" w:rsidRPr="00497542" w:rsidRDefault="00C15121" w:rsidP="00C15121">
      <w:pPr>
        <w:spacing w:after="0" w:line="240" w:lineRule="auto"/>
        <w:rPr>
          <w:rFonts w:eastAsia="Times New Roman" w:cstheme="minorHAnsi"/>
          <w:sz w:val="24"/>
          <w:szCs w:val="24"/>
        </w:rPr>
      </w:pPr>
    </w:p>
    <w:p w14:paraId="7ED45516" w14:textId="77777777" w:rsidR="00C15121" w:rsidRPr="00497542" w:rsidRDefault="00C15121" w:rsidP="00CB0408">
      <w:pPr>
        <w:pStyle w:val="Heading1"/>
        <w:rPr>
          <w:rFonts w:eastAsia="Times New Roman"/>
        </w:rPr>
      </w:pPr>
      <w:bookmarkStart w:id="28" w:name="_Toc180967760"/>
      <w:r w:rsidRPr="00497542">
        <w:rPr>
          <w:rFonts w:eastAsia="Times New Roman"/>
        </w:rPr>
        <w:t>10. Policy Review and Updates</w:t>
      </w:r>
      <w:bookmarkEnd w:id="28"/>
    </w:p>
    <w:p w14:paraId="32D12913" w14:textId="77777777" w:rsidR="00C15121" w:rsidRPr="00497542" w:rsidRDefault="00C15121" w:rsidP="00CB0408">
      <w:p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This policy will be reviewed annually to ensure that it remains relevant and effective in supporting the University’s academic mission. Feedback from students, staff, and other stakeholders will be integrated into policy updates.</w:t>
      </w:r>
    </w:p>
    <w:p w14:paraId="1D218FF4" w14:textId="0508B942" w:rsidR="00C15121" w:rsidRPr="00497542" w:rsidRDefault="00C15121" w:rsidP="00C15121">
      <w:pPr>
        <w:spacing w:after="0" w:line="240" w:lineRule="auto"/>
        <w:rPr>
          <w:rFonts w:eastAsia="Times New Roman" w:cstheme="minorHAnsi"/>
          <w:sz w:val="24"/>
          <w:szCs w:val="24"/>
        </w:rPr>
      </w:pPr>
    </w:p>
    <w:p w14:paraId="2B9C3326" w14:textId="77777777" w:rsidR="00C15121" w:rsidRPr="00497542" w:rsidRDefault="00C15121" w:rsidP="00CB0408">
      <w:pPr>
        <w:pStyle w:val="Heading1"/>
        <w:rPr>
          <w:rFonts w:eastAsia="Times New Roman"/>
        </w:rPr>
      </w:pPr>
      <w:bookmarkStart w:id="29" w:name="_Toc180967761"/>
      <w:r w:rsidRPr="00497542">
        <w:rPr>
          <w:rFonts w:eastAsia="Times New Roman"/>
        </w:rPr>
        <w:t>11. Responsibilities</w:t>
      </w:r>
      <w:bookmarkEnd w:id="29"/>
    </w:p>
    <w:p w14:paraId="2262F26D" w14:textId="77777777" w:rsidR="00C15121" w:rsidRPr="00497542" w:rsidRDefault="00C15121" w:rsidP="00C15121">
      <w:pPr>
        <w:numPr>
          <w:ilvl w:val="0"/>
          <w:numId w:val="22"/>
        </w:numPr>
        <w:spacing w:before="100" w:beforeAutospacing="1" w:after="100" w:afterAutospacing="1" w:line="240" w:lineRule="auto"/>
        <w:rPr>
          <w:rFonts w:eastAsia="Times New Roman" w:cstheme="minorHAnsi"/>
          <w:sz w:val="24"/>
          <w:szCs w:val="24"/>
        </w:rPr>
      </w:pPr>
      <w:r w:rsidRPr="00497542">
        <w:rPr>
          <w:rFonts w:eastAsia="Times New Roman" w:cstheme="minorHAnsi"/>
          <w:b/>
          <w:bCs/>
          <w:sz w:val="24"/>
          <w:szCs w:val="24"/>
        </w:rPr>
        <w:t>Facilities Management Team</w:t>
      </w:r>
      <w:r w:rsidRPr="00497542">
        <w:rPr>
          <w:rFonts w:eastAsia="Times New Roman" w:cstheme="minorHAnsi"/>
          <w:sz w:val="24"/>
          <w:szCs w:val="24"/>
        </w:rPr>
        <w:t>: Ensure the effective operation and maintenance of all physical resources, infrastructure, and facilities.</w:t>
      </w:r>
    </w:p>
    <w:p w14:paraId="48FB0D39" w14:textId="77777777" w:rsidR="00C15121" w:rsidRPr="00497542" w:rsidRDefault="00C15121" w:rsidP="00C15121">
      <w:pPr>
        <w:numPr>
          <w:ilvl w:val="0"/>
          <w:numId w:val="22"/>
        </w:numPr>
        <w:spacing w:before="100" w:beforeAutospacing="1" w:after="100" w:afterAutospacing="1" w:line="240" w:lineRule="auto"/>
        <w:rPr>
          <w:rFonts w:eastAsia="Times New Roman" w:cstheme="minorHAnsi"/>
          <w:sz w:val="24"/>
          <w:szCs w:val="24"/>
        </w:rPr>
      </w:pPr>
      <w:r w:rsidRPr="00497542">
        <w:rPr>
          <w:rFonts w:eastAsia="Times New Roman" w:cstheme="minorHAnsi"/>
          <w:b/>
          <w:bCs/>
          <w:sz w:val="24"/>
          <w:szCs w:val="24"/>
        </w:rPr>
        <w:t>IT and Digital Services Team</w:t>
      </w:r>
      <w:r w:rsidRPr="00497542">
        <w:rPr>
          <w:rFonts w:eastAsia="Times New Roman" w:cstheme="minorHAnsi"/>
          <w:sz w:val="24"/>
          <w:szCs w:val="24"/>
        </w:rPr>
        <w:t>: Provide robust and secure digital infrastructure, support services, and digital learning tools.</w:t>
      </w:r>
    </w:p>
    <w:p w14:paraId="62372470" w14:textId="77777777" w:rsidR="00C15121" w:rsidRPr="00497542" w:rsidRDefault="00C15121" w:rsidP="00C15121">
      <w:pPr>
        <w:numPr>
          <w:ilvl w:val="0"/>
          <w:numId w:val="22"/>
        </w:numPr>
        <w:spacing w:before="100" w:beforeAutospacing="1" w:after="100" w:afterAutospacing="1" w:line="240" w:lineRule="auto"/>
        <w:rPr>
          <w:rFonts w:eastAsia="Times New Roman" w:cstheme="minorHAnsi"/>
          <w:sz w:val="24"/>
          <w:szCs w:val="24"/>
        </w:rPr>
      </w:pPr>
      <w:r w:rsidRPr="00497542">
        <w:rPr>
          <w:rFonts w:eastAsia="Times New Roman" w:cstheme="minorHAnsi"/>
          <w:b/>
          <w:bCs/>
          <w:sz w:val="24"/>
          <w:szCs w:val="24"/>
        </w:rPr>
        <w:t>Academic Departments</w:t>
      </w:r>
      <w:r w:rsidRPr="00497542">
        <w:rPr>
          <w:rFonts w:eastAsia="Times New Roman" w:cstheme="minorHAnsi"/>
          <w:sz w:val="24"/>
          <w:szCs w:val="24"/>
        </w:rPr>
        <w:t>: Provide feedback on the adequacy of resources and facilities to support teaching, learning, and research.</w:t>
      </w:r>
    </w:p>
    <w:p w14:paraId="787DC9A1" w14:textId="77777777" w:rsidR="00C15121" w:rsidRPr="00497542" w:rsidRDefault="00C15121" w:rsidP="00C15121">
      <w:pPr>
        <w:numPr>
          <w:ilvl w:val="0"/>
          <w:numId w:val="22"/>
        </w:numPr>
        <w:spacing w:before="100" w:beforeAutospacing="1" w:after="100" w:afterAutospacing="1" w:line="240" w:lineRule="auto"/>
        <w:rPr>
          <w:rFonts w:eastAsia="Times New Roman" w:cstheme="minorHAnsi"/>
          <w:sz w:val="24"/>
          <w:szCs w:val="24"/>
        </w:rPr>
      </w:pPr>
      <w:r w:rsidRPr="00497542">
        <w:rPr>
          <w:rFonts w:eastAsia="Times New Roman" w:cstheme="minorHAnsi"/>
          <w:b/>
          <w:bCs/>
          <w:sz w:val="24"/>
          <w:szCs w:val="24"/>
        </w:rPr>
        <w:t>Students and Staff</w:t>
      </w:r>
      <w:r w:rsidRPr="00497542">
        <w:rPr>
          <w:rFonts w:eastAsia="Times New Roman" w:cstheme="minorHAnsi"/>
          <w:sz w:val="24"/>
          <w:szCs w:val="24"/>
        </w:rPr>
        <w:t>: Report any issues related to the use and functionality of facilities and engage responsibly with resources provided.</w:t>
      </w:r>
    </w:p>
    <w:p w14:paraId="0CAD29BD" w14:textId="3126842F" w:rsidR="00C15121" w:rsidRPr="00497542" w:rsidRDefault="00C15121" w:rsidP="00C15121">
      <w:pPr>
        <w:spacing w:after="0" w:line="240" w:lineRule="auto"/>
        <w:rPr>
          <w:rFonts w:eastAsia="Times New Roman" w:cstheme="minorHAnsi"/>
          <w:sz w:val="24"/>
          <w:szCs w:val="24"/>
        </w:rPr>
      </w:pPr>
    </w:p>
    <w:p w14:paraId="6A270210" w14:textId="77777777" w:rsidR="00C15121" w:rsidRPr="00497542" w:rsidRDefault="00C15121" w:rsidP="00CB0408">
      <w:pPr>
        <w:pStyle w:val="Heading1"/>
        <w:rPr>
          <w:rFonts w:eastAsia="Times New Roman"/>
        </w:rPr>
      </w:pPr>
      <w:bookmarkStart w:id="30" w:name="_Toc180967762"/>
      <w:r w:rsidRPr="00497542">
        <w:rPr>
          <w:rFonts w:eastAsia="Times New Roman"/>
        </w:rPr>
        <w:t>12. Conclusion</w:t>
      </w:r>
      <w:bookmarkEnd w:id="30"/>
    </w:p>
    <w:p w14:paraId="758707CF" w14:textId="77777777" w:rsidR="00C15121" w:rsidRPr="00497542" w:rsidRDefault="00C15121" w:rsidP="00CB0408">
      <w:pPr>
        <w:spacing w:before="100" w:beforeAutospacing="1" w:after="100" w:afterAutospacing="1" w:line="240" w:lineRule="auto"/>
        <w:jc w:val="both"/>
        <w:rPr>
          <w:rFonts w:eastAsia="Times New Roman" w:cstheme="minorHAnsi"/>
          <w:sz w:val="24"/>
          <w:szCs w:val="24"/>
        </w:rPr>
      </w:pPr>
      <w:r w:rsidRPr="00497542">
        <w:rPr>
          <w:rFonts w:eastAsia="Times New Roman" w:cstheme="minorHAnsi"/>
          <w:sz w:val="24"/>
          <w:szCs w:val="24"/>
        </w:rPr>
        <w:t>This Quality Assurance Policy for Resources and Facilities reinforces the University’s commitment to providing high-quality, accessible, and sustainable resources that support teaching, learning, research, and student welfare. Through continuous monitoring and improvements, the University aims to create an environment where academic and personal development can thrive.</w:t>
      </w:r>
    </w:p>
    <w:p w14:paraId="4B7D1D59" w14:textId="77777777" w:rsidR="00EF5C56" w:rsidRPr="00497542" w:rsidRDefault="00EF5C56">
      <w:pPr>
        <w:rPr>
          <w:rFonts w:cstheme="minorHAnsi"/>
        </w:rPr>
      </w:pPr>
    </w:p>
    <w:sectPr w:rsidR="00EF5C56" w:rsidRPr="0049754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024C5" w14:textId="77777777" w:rsidR="001F6A7F" w:rsidRDefault="001F6A7F" w:rsidP="00CB0408">
      <w:pPr>
        <w:spacing w:after="0" w:line="240" w:lineRule="auto"/>
      </w:pPr>
      <w:r>
        <w:separator/>
      </w:r>
    </w:p>
  </w:endnote>
  <w:endnote w:type="continuationSeparator" w:id="0">
    <w:p w14:paraId="2ABF87DD" w14:textId="77777777" w:rsidR="001F6A7F" w:rsidRDefault="001F6A7F" w:rsidP="00CB0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922676"/>
      <w:docPartObj>
        <w:docPartGallery w:val="Page Numbers (Bottom of Page)"/>
        <w:docPartUnique/>
      </w:docPartObj>
    </w:sdtPr>
    <w:sdtEndPr>
      <w:rPr>
        <w:noProof/>
      </w:rPr>
    </w:sdtEndPr>
    <w:sdtContent>
      <w:p w14:paraId="6CA2700B" w14:textId="640E16A8" w:rsidR="00CB0408" w:rsidRDefault="00CB04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B64E25" w14:textId="77777777" w:rsidR="00CB0408" w:rsidRDefault="00CB0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86986" w14:textId="77777777" w:rsidR="001F6A7F" w:rsidRDefault="001F6A7F" w:rsidP="00CB0408">
      <w:pPr>
        <w:spacing w:after="0" w:line="240" w:lineRule="auto"/>
      </w:pPr>
      <w:r>
        <w:separator/>
      </w:r>
    </w:p>
  </w:footnote>
  <w:footnote w:type="continuationSeparator" w:id="0">
    <w:p w14:paraId="1931D177" w14:textId="77777777" w:rsidR="001F6A7F" w:rsidRDefault="001F6A7F" w:rsidP="00CB0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7333"/>
    <w:multiLevelType w:val="multilevel"/>
    <w:tmpl w:val="565A1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643AF2"/>
    <w:multiLevelType w:val="multilevel"/>
    <w:tmpl w:val="2284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2014C"/>
    <w:multiLevelType w:val="multilevel"/>
    <w:tmpl w:val="D3B4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D292C"/>
    <w:multiLevelType w:val="multilevel"/>
    <w:tmpl w:val="59E6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3A2182"/>
    <w:multiLevelType w:val="multilevel"/>
    <w:tmpl w:val="5906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44338C"/>
    <w:multiLevelType w:val="multilevel"/>
    <w:tmpl w:val="8D76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A34A01"/>
    <w:multiLevelType w:val="multilevel"/>
    <w:tmpl w:val="9374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A752A7"/>
    <w:multiLevelType w:val="multilevel"/>
    <w:tmpl w:val="3622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8E3459"/>
    <w:multiLevelType w:val="multilevel"/>
    <w:tmpl w:val="F16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677B8F"/>
    <w:multiLevelType w:val="multilevel"/>
    <w:tmpl w:val="E5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607F40"/>
    <w:multiLevelType w:val="multilevel"/>
    <w:tmpl w:val="065C3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F52361"/>
    <w:multiLevelType w:val="multilevel"/>
    <w:tmpl w:val="D5A6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236D68"/>
    <w:multiLevelType w:val="multilevel"/>
    <w:tmpl w:val="F66C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B13D8C"/>
    <w:multiLevelType w:val="multilevel"/>
    <w:tmpl w:val="CFA6C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F3393A"/>
    <w:multiLevelType w:val="multilevel"/>
    <w:tmpl w:val="70CCA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BC687C"/>
    <w:multiLevelType w:val="multilevel"/>
    <w:tmpl w:val="4B38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B136BA"/>
    <w:multiLevelType w:val="multilevel"/>
    <w:tmpl w:val="80E07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544D8E"/>
    <w:multiLevelType w:val="multilevel"/>
    <w:tmpl w:val="F592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D400F5"/>
    <w:multiLevelType w:val="multilevel"/>
    <w:tmpl w:val="CD2E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022A90"/>
    <w:multiLevelType w:val="multilevel"/>
    <w:tmpl w:val="FFE8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E63B48"/>
    <w:multiLevelType w:val="multilevel"/>
    <w:tmpl w:val="DE54F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C3AF6"/>
    <w:multiLevelType w:val="multilevel"/>
    <w:tmpl w:val="4B7E9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8286394">
    <w:abstractNumId w:val="19"/>
  </w:num>
  <w:num w:numId="2" w16cid:durableId="991830823">
    <w:abstractNumId w:val="3"/>
  </w:num>
  <w:num w:numId="3" w16cid:durableId="1135219873">
    <w:abstractNumId w:val="14"/>
  </w:num>
  <w:num w:numId="4" w16cid:durableId="1684935266">
    <w:abstractNumId w:val="21"/>
  </w:num>
  <w:num w:numId="5" w16cid:durableId="354888741">
    <w:abstractNumId w:val="11"/>
  </w:num>
  <w:num w:numId="6" w16cid:durableId="1953050592">
    <w:abstractNumId w:val="4"/>
  </w:num>
  <w:num w:numId="7" w16cid:durableId="1751610645">
    <w:abstractNumId w:val="9"/>
  </w:num>
  <w:num w:numId="8" w16cid:durableId="20740060">
    <w:abstractNumId w:val="12"/>
  </w:num>
  <w:num w:numId="9" w16cid:durableId="62291680">
    <w:abstractNumId w:val="15"/>
  </w:num>
  <w:num w:numId="10" w16cid:durableId="790517499">
    <w:abstractNumId w:val="0"/>
  </w:num>
  <w:num w:numId="11" w16cid:durableId="1935550068">
    <w:abstractNumId w:val="2"/>
  </w:num>
  <w:num w:numId="12" w16cid:durableId="735593580">
    <w:abstractNumId w:val="16"/>
  </w:num>
  <w:num w:numId="13" w16cid:durableId="116993831">
    <w:abstractNumId w:val="18"/>
  </w:num>
  <w:num w:numId="14" w16cid:durableId="1672559443">
    <w:abstractNumId w:val="8"/>
  </w:num>
  <w:num w:numId="15" w16cid:durableId="713042523">
    <w:abstractNumId w:val="5"/>
  </w:num>
  <w:num w:numId="16" w16cid:durableId="1578393351">
    <w:abstractNumId w:val="7"/>
  </w:num>
  <w:num w:numId="17" w16cid:durableId="1158300220">
    <w:abstractNumId w:val="1"/>
  </w:num>
  <w:num w:numId="18" w16cid:durableId="384835069">
    <w:abstractNumId w:val="10"/>
  </w:num>
  <w:num w:numId="19" w16cid:durableId="269357201">
    <w:abstractNumId w:val="17"/>
  </w:num>
  <w:num w:numId="20" w16cid:durableId="73824410">
    <w:abstractNumId w:val="20"/>
  </w:num>
  <w:num w:numId="21" w16cid:durableId="1221866932">
    <w:abstractNumId w:val="6"/>
  </w:num>
  <w:num w:numId="22" w16cid:durableId="17286755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121"/>
    <w:rsid w:val="00022928"/>
    <w:rsid w:val="000D7AC4"/>
    <w:rsid w:val="000E0F9D"/>
    <w:rsid w:val="001B6432"/>
    <w:rsid w:val="001F6A7F"/>
    <w:rsid w:val="00232AD0"/>
    <w:rsid w:val="004861DC"/>
    <w:rsid w:val="00497542"/>
    <w:rsid w:val="005F21F6"/>
    <w:rsid w:val="006C10B0"/>
    <w:rsid w:val="00A20AC1"/>
    <w:rsid w:val="00B222CF"/>
    <w:rsid w:val="00B54EC2"/>
    <w:rsid w:val="00BB1F1A"/>
    <w:rsid w:val="00BE1ED0"/>
    <w:rsid w:val="00C15121"/>
    <w:rsid w:val="00C568DC"/>
    <w:rsid w:val="00CA6519"/>
    <w:rsid w:val="00CB0408"/>
    <w:rsid w:val="00ED5198"/>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EF081"/>
  <w15:docId w15:val="{0AD7967B-720E-4AC1-AF15-D0960697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5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51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151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151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151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5121"/>
    <w:rPr>
      <w:rFonts w:ascii="Times New Roman" w:eastAsia="Times New Roman" w:hAnsi="Times New Roman" w:cs="Times New Roman"/>
      <w:b/>
      <w:bCs/>
      <w:sz w:val="24"/>
      <w:szCs w:val="24"/>
    </w:rPr>
  </w:style>
  <w:style w:type="character" w:styleId="Strong">
    <w:name w:val="Strong"/>
    <w:basedOn w:val="DefaultParagraphFont"/>
    <w:uiPriority w:val="22"/>
    <w:qFormat/>
    <w:rsid w:val="00C15121"/>
    <w:rPr>
      <w:b/>
      <w:bCs/>
    </w:rPr>
  </w:style>
  <w:style w:type="paragraph" w:styleId="NormalWeb">
    <w:name w:val="Normal (Web)"/>
    <w:basedOn w:val="Normal"/>
    <w:uiPriority w:val="99"/>
    <w:semiHidden/>
    <w:unhideWhenUsed/>
    <w:rsid w:val="00C1512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497542"/>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497542"/>
    <w:rPr>
      <w:rFonts w:cstheme="minorHAnsi"/>
      <w:b/>
      <w:sz w:val="48"/>
      <w:szCs w:val="48"/>
    </w:rPr>
  </w:style>
  <w:style w:type="paragraph" w:customStyle="1" w:styleId="TableParagraph">
    <w:name w:val="Table Paragraph"/>
    <w:basedOn w:val="Normal"/>
    <w:uiPriority w:val="1"/>
    <w:qFormat/>
    <w:rsid w:val="00497542"/>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4975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7542"/>
    <w:pPr>
      <w:outlineLvl w:val="9"/>
    </w:pPr>
  </w:style>
  <w:style w:type="paragraph" w:styleId="TOC3">
    <w:name w:val="toc 3"/>
    <w:basedOn w:val="Normal"/>
    <w:next w:val="Normal"/>
    <w:autoRedefine/>
    <w:uiPriority w:val="39"/>
    <w:unhideWhenUsed/>
    <w:rsid w:val="00497542"/>
    <w:pPr>
      <w:spacing w:after="100"/>
      <w:ind w:left="440"/>
    </w:pPr>
  </w:style>
  <w:style w:type="character" w:styleId="Hyperlink">
    <w:name w:val="Hyperlink"/>
    <w:basedOn w:val="DefaultParagraphFont"/>
    <w:uiPriority w:val="99"/>
    <w:unhideWhenUsed/>
    <w:rsid w:val="00497542"/>
    <w:rPr>
      <w:color w:val="0563C1" w:themeColor="hyperlink"/>
      <w:u w:val="single"/>
    </w:rPr>
  </w:style>
  <w:style w:type="character" w:customStyle="1" w:styleId="Heading2Char">
    <w:name w:val="Heading 2 Char"/>
    <w:basedOn w:val="DefaultParagraphFont"/>
    <w:link w:val="Heading2"/>
    <w:uiPriority w:val="9"/>
    <w:rsid w:val="00ED5198"/>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CB0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408"/>
  </w:style>
  <w:style w:type="paragraph" w:styleId="Footer">
    <w:name w:val="footer"/>
    <w:basedOn w:val="Normal"/>
    <w:link w:val="FooterChar"/>
    <w:uiPriority w:val="99"/>
    <w:unhideWhenUsed/>
    <w:rsid w:val="00CB0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408"/>
  </w:style>
  <w:style w:type="paragraph" w:styleId="TOC1">
    <w:name w:val="toc 1"/>
    <w:basedOn w:val="Normal"/>
    <w:next w:val="Normal"/>
    <w:autoRedefine/>
    <w:uiPriority w:val="39"/>
    <w:unhideWhenUsed/>
    <w:rsid w:val="001B6432"/>
    <w:pPr>
      <w:spacing w:after="100"/>
    </w:pPr>
  </w:style>
  <w:style w:type="paragraph" w:styleId="TOC2">
    <w:name w:val="toc 2"/>
    <w:basedOn w:val="Normal"/>
    <w:next w:val="Normal"/>
    <w:autoRedefine/>
    <w:uiPriority w:val="39"/>
    <w:unhideWhenUsed/>
    <w:rsid w:val="001B643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581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E3B06B5-1587-498B-93D6-4DFBCAF1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4</cp:revision>
  <dcterms:created xsi:type="dcterms:W3CDTF">2024-10-27T23:28:00Z</dcterms:created>
  <dcterms:modified xsi:type="dcterms:W3CDTF">2024-10-31T09:05:00Z</dcterms:modified>
</cp:coreProperties>
</file>