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51410" w14:textId="09610FC5" w:rsidR="009C31A7" w:rsidRPr="009C31A7" w:rsidRDefault="00327C7A" w:rsidP="009C31A7">
      <w:pPr>
        <w:pStyle w:val="BodyText"/>
      </w:pPr>
      <w:r>
        <w:t>Student Management</w:t>
      </w:r>
      <w:r w:rsidR="009C31A7" w:rsidRPr="009C31A7">
        <w:t xml:space="preserve"> Draft Quality Assurance Policy</w:t>
      </w:r>
    </w:p>
    <w:p w14:paraId="07EF5BA5" w14:textId="77777777" w:rsidR="009C31A7" w:rsidRPr="009C31A7" w:rsidRDefault="009C31A7" w:rsidP="009C31A7">
      <w:pPr>
        <w:pStyle w:val="BodyText"/>
        <w:rPr>
          <w:sz w:val="20"/>
        </w:rPr>
      </w:pPr>
      <w:r w:rsidRPr="009C31A7">
        <w:rPr>
          <w:noProof/>
        </w:rPr>
        <w:drawing>
          <wp:anchor distT="0" distB="0" distL="0" distR="0" simplePos="0" relativeHeight="251659264" behindDoc="1" locked="0" layoutInCell="1" allowOverlap="1" wp14:anchorId="3E1E1AD8" wp14:editId="23F89388">
            <wp:simplePos x="0" y="0"/>
            <wp:positionH relativeFrom="page">
              <wp:posOffset>3265804</wp:posOffset>
            </wp:positionH>
            <wp:positionV relativeFrom="paragraph">
              <wp:posOffset>161855</wp:posOffset>
            </wp:positionV>
            <wp:extent cx="1024945" cy="866775"/>
            <wp:effectExtent l="0" t="0" r="0" b="0"/>
            <wp:wrapTopAndBottom/>
            <wp:docPr id="2" name="Image 2" descr="AE989A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E989AAC"/>
                    <pic:cNvPicPr/>
                  </pic:nvPicPr>
                  <pic:blipFill>
                    <a:blip r:embed="rId7" cstate="print"/>
                    <a:stretch>
                      <a:fillRect/>
                    </a:stretch>
                  </pic:blipFill>
                  <pic:spPr>
                    <a:xfrm>
                      <a:off x="0" y="0"/>
                      <a:ext cx="1024945" cy="866775"/>
                    </a:xfrm>
                    <a:prstGeom prst="rect">
                      <a:avLst/>
                    </a:prstGeom>
                  </pic:spPr>
                </pic:pic>
              </a:graphicData>
            </a:graphic>
          </wp:anchor>
        </w:drawing>
      </w:r>
    </w:p>
    <w:p w14:paraId="049B7467" w14:textId="77777777" w:rsidR="009C31A7" w:rsidRPr="009C31A7" w:rsidRDefault="009C31A7" w:rsidP="009C31A7">
      <w:pPr>
        <w:pStyle w:val="BodyText"/>
      </w:pPr>
    </w:p>
    <w:tbl>
      <w:tblPr>
        <w:tblW w:w="0" w:type="auto"/>
        <w:tblInd w:w="700" w:type="dxa"/>
        <w:tblLayout w:type="fixed"/>
        <w:tblCellMar>
          <w:left w:w="0" w:type="dxa"/>
          <w:right w:w="0" w:type="dxa"/>
        </w:tblCellMar>
        <w:tblLook w:val="01E0" w:firstRow="1" w:lastRow="1" w:firstColumn="1" w:lastColumn="1" w:noHBand="0" w:noVBand="0"/>
      </w:tblPr>
      <w:tblGrid>
        <w:gridCol w:w="3937"/>
        <w:gridCol w:w="4030"/>
      </w:tblGrid>
      <w:tr w:rsidR="009C31A7" w:rsidRPr="009C31A7" w14:paraId="15B5BBFF" w14:textId="77777777" w:rsidTr="00624F2A">
        <w:trPr>
          <w:trHeight w:val="419"/>
        </w:trPr>
        <w:tc>
          <w:tcPr>
            <w:tcW w:w="3937" w:type="dxa"/>
            <w:tcBorders>
              <w:right w:val="single" w:sz="4" w:space="0" w:color="000000"/>
            </w:tcBorders>
          </w:tcPr>
          <w:p w14:paraId="5ACD5461" w14:textId="77777777" w:rsidR="009C31A7" w:rsidRPr="009C31A7" w:rsidRDefault="009C31A7" w:rsidP="00624F2A">
            <w:pPr>
              <w:pStyle w:val="TableParagraph"/>
              <w:spacing w:before="1"/>
              <w:ind w:left="3" w:right="208"/>
              <w:jc w:val="center"/>
              <w:rPr>
                <w:rFonts w:asciiTheme="minorHAnsi" w:hAnsiTheme="minorHAnsi" w:cstheme="minorHAnsi"/>
                <w:b/>
              </w:rPr>
            </w:pPr>
            <w:r w:rsidRPr="009C31A7">
              <w:rPr>
                <w:rFonts w:asciiTheme="minorHAnsi" w:hAnsiTheme="minorHAnsi" w:cstheme="minorHAnsi"/>
                <w:b/>
              </w:rPr>
              <w:t>Responsible</w:t>
            </w:r>
            <w:r w:rsidRPr="009C31A7">
              <w:rPr>
                <w:rFonts w:asciiTheme="minorHAnsi" w:hAnsiTheme="minorHAnsi" w:cstheme="minorHAnsi"/>
                <w:b/>
                <w:spacing w:val="-2"/>
              </w:rPr>
              <w:t xml:space="preserve"> Executive</w:t>
            </w:r>
          </w:p>
        </w:tc>
        <w:tc>
          <w:tcPr>
            <w:tcW w:w="4030" w:type="dxa"/>
            <w:tcBorders>
              <w:left w:val="single" w:sz="4" w:space="0" w:color="000000"/>
            </w:tcBorders>
          </w:tcPr>
          <w:p w14:paraId="122AF996" w14:textId="77777777" w:rsidR="009C31A7" w:rsidRPr="009C31A7" w:rsidRDefault="009C31A7" w:rsidP="00624F2A">
            <w:pPr>
              <w:pStyle w:val="TableParagraph"/>
              <w:spacing w:before="1"/>
              <w:ind w:left="126" w:right="11"/>
              <w:jc w:val="center"/>
              <w:rPr>
                <w:rFonts w:asciiTheme="minorHAnsi" w:hAnsiTheme="minorHAnsi" w:cstheme="minorHAnsi"/>
                <w:b/>
              </w:rPr>
            </w:pPr>
            <w:r w:rsidRPr="009C31A7">
              <w:rPr>
                <w:rFonts w:asciiTheme="minorHAnsi" w:hAnsiTheme="minorHAnsi" w:cstheme="minorHAnsi"/>
                <w:b/>
              </w:rPr>
              <w:t>Vice</w:t>
            </w:r>
            <w:r w:rsidRPr="009C31A7">
              <w:rPr>
                <w:rFonts w:asciiTheme="minorHAnsi" w:hAnsiTheme="minorHAnsi" w:cstheme="minorHAnsi"/>
                <w:b/>
                <w:spacing w:val="-7"/>
              </w:rPr>
              <w:t xml:space="preserve"> </w:t>
            </w:r>
            <w:r w:rsidRPr="009C31A7">
              <w:rPr>
                <w:rFonts w:asciiTheme="minorHAnsi" w:hAnsiTheme="minorHAnsi" w:cstheme="minorHAnsi"/>
                <w:b/>
                <w:spacing w:val="-2"/>
              </w:rPr>
              <w:t>Chancellor</w:t>
            </w:r>
          </w:p>
        </w:tc>
      </w:tr>
      <w:tr w:rsidR="009C31A7" w:rsidRPr="009C31A7" w14:paraId="6A03CE3E" w14:textId="77777777" w:rsidTr="00624F2A">
        <w:trPr>
          <w:trHeight w:val="552"/>
        </w:trPr>
        <w:tc>
          <w:tcPr>
            <w:tcW w:w="3937" w:type="dxa"/>
            <w:tcBorders>
              <w:right w:val="single" w:sz="4" w:space="0" w:color="000000"/>
            </w:tcBorders>
          </w:tcPr>
          <w:p w14:paraId="77F9EA91" w14:textId="77777777" w:rsidR="009C31A7" w:rsidRPr="009C31A7" w:rsidRDefault="009C31A7" w:rsidP="00624F2A">
            <w:pPr>
              <w:pStyle w:val="TableParagraph"/>
              <w:spacing w:before="132"/>
              <w:ind w:left="5" w:right="208"/>
              <w:jc w:val="center"/>
              <w:rPr>
                <w:rFonts w:asciiTheme="minorHAnsi" w:hAnsiTheme="minorHAnsi" w:cstheme="minorHAnsi"/>
                <w:b/>
              </w:rPr>
            </w:pPr>
            <w:r w:rsidRPr="009C31A7">
              <w:rPr>
                <w:rFonts w:asciiTheme="minorHAnsi" w:hAnsiTheme="minorHAnsi" w:cstheme="minorHAnsi"/>
                <w:b/>
              </w:rPr>
              <w:t>Responsible</w:t>
            </w:r>
            <w:r w:rsidRPr="009C31A7">
              <w:rPr>
                <w:rFonts w:asciiTheme="minorHAnsi" w:hAnsiTheme="minorHAnsi" w:cstheme="minorHAnsi"/>
                <w:b/>
                <w:spacing w:val="-2"/>
              </w:rPr>
              <w:t xml:space="preserve"> Division</w:t>
            </w:r>
          </w:p>
        </w:tc>
        <w:tc>
          <w:tcPr>
            <w:tcW w:w="4030" w:type="dxa"/>
            <w:tcBorders>
              <w:left w:val="single" w:sz="4" w:space="0" w:color="000000"/>
            </w:tcBorders>
          </w:tcPr>
          <w:p w14:paraId="49A8C113" w14:textId="77777777" w:rsidR="009C31A7" w:rsidRPr="009C31A7" w:rsidRDefault="009C31A7" w:rsidP="00624F2A">
            <w:pPr>
              <w:pStyle w:val="TableParagraph"/>
              <w:spacing w:before="132"/>
              <w:ind w:left="126" w:right="3"/>
              <w:jc w:val="center"/>
              <w:rPr>
                <w:rFonts w:asciiTheme="minorHAnsi" w:hAnsiTheme="minorHAnsi" w:cstheme="minorHAnsi"/>
                <w:b/>
              </w:rPr>
            </w:pPr>
            <w:r w:rsidRPr="009C31A7">
              <w:rPr>
                <w:rFonts w:asciiTheme="minorHAnsi" w:hAnsiTheme="minorHAnsi" w:cstheme="minorHAnsi"/>
                <w:b/>
              </w:rPr>
              <w:t>Directorate</w:t>
            </w:r>
            <w:r w:rsidRPr="009C31A7">
              <w:rPr>
                <w:rFonts w:asciiTheme="minorHAnsi" w:hAnsiTheme="minorHAnsi" w:cstheme="minorHAnsi"/>
                <w:b/>
                <w:spacing w:val="-7"/>
              </w:rPr>
              <w:t xml:space="preserve"> </w:t>
            </w:r>
            <w:r w:rsidRPr="009C31A7">
              <w:rPr>
                <w:rFonts w:asciiTheme="minorHAnsi" w:hAnsiTheme="minorHAnsi" w:cstheme="minorHAnsi"/>
                <w:b/>
              </w:rPr>
              <w:t>of</w:t>
            </w:r>
            <w:r w:rsidRPr="009C31A7">
              <w:rPr>
                <w:rFonts w:asciiTheme="minorHAnsi" w:hAnsiTheme="minorHAnsi" w:cstheme="minorHAnsi"/>
                <w:b/>
                <w:spacing w:val="-1"/>
              </w:rPr>
              <w:t xml:space="preserve"> </w:t>
            </w:r>
            <w:r w:rsidRPr="009C31A7">
              <w:rPr>
                <w:rFonts w:asciiTheme="minorHAnsi" w:hAnsiTheme="minorHAnsi" w:cstheme="minorHAnsi"/>
                <w:b/>
              </w:rPr>
              <w:t>Quality</w:t>
            </w:r>
            <w:r w:rsidRPr="009C31A7">
              <w:rPr>
                <w:rFonts w:asciiTheme="minorHAnsi" w:hAnsiTheme="minorHAnsi" w:cstheme="minorHAnsi"/>
                <w:b/>
                <w:spacing w:val="-4"/>
              </w:rPr>
              <w:t xml:space="preserve"> </w:t>
            </w:r>
            <w:r w:rsidRPr="009C31A7">
              <w:rPr>
                <w:rFonts w:asciiTheme="minorHAnsi" w:hAnsiTheme="minorHAnsi" w:cstheme="minorHAnsi"/>
                <w:b/>
                <w:spacing w:val="-2"/>
              </w:rPr>
              <w:t>Assurance</w:t>
            </w:r>
          </w:p>
        </w:tc>
      </w:tr>
      <w:tr w:rsidR="009C31A7" w:rsidRPr="009C31A7" w14:paraId="42307642" w14:textId="77777777" w:rsidTr="00624F2A">
        <w:trPr>
          <w:trHeight w:val="552"/>
        </w:trPr>
        <w:tc>
          <w:tcPr>
            <w:tcW w:w="3937" w:type="dxa"/>
            <w:tcBorders>
              <w:right w:val="single" w:sz="4" w:space="0" w:color="000000"/>
            </w:tcBorders>
          </w:tcPr>
          <w:p w14:paraId="2F0C0048" w14:textId="77777777" w:rsidR="009C31A7" w:rsidRPr="009C31A7" w:rsidRDefault="009C31A7" w:rsidP="00624F2A">
            <w:pPr>
              <w:pStyle w:val="TableParagraph"/>
              <w:spacing w:before="134"/>
              <w:ind w:left="9" w:right="208"/>
              <w:jc w:val="center"/>
              <w:rPr>
                <w:rFonts w:asciiTheme="minorHAnsi" w:hAnsiTheme="minorHAnsi" w:cstheme="minorHAnsi"/>
                <w:b/>
              </w:rPr>
            </w:pPr>
            <w:r w:rsidRPr="009C31A7">
              <w:rPr>
                <w:rFonts w:asciiTheme="minorHAnsi" w:hAnsiTheme="minorHAnsi" w:cstheme="minorHAnsi"/>
                <w:b/>
              </w:rPr>
              <w:t xml:space="preserve">Approved </w:t>
            </w:r>
            <w:r w:rsidRPr="009C31A7">
              <w:rPr>
                <w:rFonts w:asciiTheme="minorHAnsi" w:hAnsiTheme="minorHAnsi" w:cstheme="minorHAnsi"/>
                <w:b/>
                <w:spacing w:val="-5"/>
              </w:rPr>
              <w:t>By</w:t>
            </w:r>
          </w:p>
        </w:tc>
        <w:tc>
          <w:tcPr>
            <w:tcW w:w="4030" w:type="dxa"/>
            <w:tcBorders>
              <w:left w:val="single" w:sz="4" w:space="0" w:color="000000"/>
            </w:tcBorders>
          </w:tcPr>
          <w:p w14:paraId="7A73A93D" w14:textId="467D133C" w:rsidR="009C31A7" w:rsidRPr="009C31A7" w:rsidRDefault="009C31A7" w:rsidP="00624F2A">
            <w:pPr>
              <w:pStyle w:val="TableParagraph"/>
              <w:spacing w:before="134"/>
              <w:ind w:left="126"/>
              <w:jc w:val="center"/>
              <w:rPr>
                <w:rFonts w:asciiTheme="minorHAnsi" w:hAnsiTheme="minorHAnsi" w:cstheme="minorHAnsi"/>
                <w:b/>
              </w:rPr>
            </w:pPr>
          </w:p>
        </w:tc>
      </w:tr>
      <w:tr w:rsidR="009C31A7" w:rsidRPr="009C31A7" w14:paraId="5713AEB6" w14:textId="77777777" w:rsidTr="00624F2A">
        <w:trPr>
          <w:trHeight w:val="550"/>
        </w:trPr>
        <w:tc>
          <w:tcPr>
            <w:tcW w:w="3937" w:type="dxa"/>
            <w:tcBorders>
              <w:right w:val="single" w:sz="4" w:space="0" w:color="000000"/>
            </w:tcBorders>
          </w:tcPr>
          <w:p w14:paraId="5835876F" w14:textId="77777777" w:rsidR="009C31A7" w:rsidRPr="009C31A7" w:rsidRDefault="009C31A7" w:rsidP="00624F2A">
            <w:pPr>
              <w:pStyle w:val="TableParagraph"/>
              <w:spacing w:before="132"/>
              <w:ind w:left="7" w:right="208"/>
              <w:jc w:val="center"/>
              <w:rPr>
                <w:rFonts w:asciiTheme="minorHAnsi" w:hAnsiTheme="minorHAnsi" w:cstheme="minorHAnsi"/>
                <w:b/>
              </w:rPr>
            </w:pPr>
            <w:r w:rsidRPr="009C31A7">
              <w:rPr>
                <w:rFonts w:asciiTheme="minorHAnsi" w:hAnsiTheme="minorHAnsi" w:cstheme="minorHAnsi"/>
                <w:b/>
              </w:rPr>
              <w:t>Date</w:t>
            </w:r>
            <w:r w:rsidRPr="009C31A7">
              <w:rPr>
                <w:rFonts w:asciiTheme="minorHAnsi" w:hAnsiTheme="minorHAnsi" w:cstheme="minorHAnsi"/>
                <w:b/>
                <w:spacing w:val="-1"/>
              </w:rPr>
              <w:t xml:space="preserve"> </w:t>
            </w:r>
            <w:r w:rsidRPr="009C31A7">
              <w:rPr>
                <w:rFonts w:asciiTheme="minorHAnsi" w:hAnsiTheme="minorHAnsi" w:cstheme="minorHAnsi"/>
                <w:b/>
                <w:spacing w:val="-2"/>
              </w:rPr>
              <w:t>Approved</w:t>
            </w:r>
          </w:p>
        </w:tc>
        <w:tc>
          <w:tcPr>
            <w:tcW w:w="4030" w:type="dxa"/>
            <w:tcBorders>
              <w:left w:val="single" w:sz="4" w:space="0" w:color="000000"/>
            </w:tcBorders>
          </w:tcPr>
          <w:p w14:paraId="189995C7" w14:textId="77777777" w:rsidR="009C31A7" w:rsidRPr="009C31A7" w:rsidRDefault="009C31A7" w:rsidP="00624F2A">
            <w:pPr>
              <w:pStyle w:val="TableParagraph"/>
              <w:rPr>
                <w:rFonts w:asciiTheme="minorHAnsi" w:hAnsiTheme="minorHAnsi" w:cstheme="minorHAnsi"/>
              </w:rPr>
            </w:pPr>
          </w:p>
        </w:tc>
      </w:tr>
      <w:tr w:rsidR="009C31A7" w:rsidRPr="009C31A7" w14:paraId="71D19AF0" w14:textId="77777777" w:rsidTr="00624F2A">
        <w:trPr>
          <w:trHeight w:val="552"/>
        </w:trPr>
        <w:tc>
          <w:tcPr>
            <w:tcW w:w="3937" w:type="dxa"/>
            <w:tcBorders>
              <w:right w:val="single" w:sz="4" w:space="0" w:color="000000"/>
            </w:tcBorders>
          </w:tcPr>
          <w:p w14:paraId="29225788" w14:textId="77777777" w:rsidR="009C31A7" w:rsidRPr="009C31A7" w:rsidRDefault="009C31A7" w:rsidP="00624F2A">
            <w:pPr>
              <w:pStyle w:val="TableParagraph"/>
              <w:spacing w:before="132"/>
              <w:ind w:right="208"/>
              <w:jc w:val="center"/>
              <w:rPr>
                <w:rFonts w:asciiTheme="minorHAnsi" w:hAnsiTheme="minorHAnsi" w:cstheme="minorHAnsi"/>
                <w:b/>
              </w:rPr>
            </w:pPr>
            <w:r w:rsidRPr="009C31A7">
              <w:rPr>
                <w:rFonts w:asciiTheme="minorHAnsi" w:hAnsiTheme="minorHAnsi" w:cstheme="minorHAnsi"/>
                <w:b/>
              </w:rPr>
              <w:t>Review</w:t>
            </w:r>
            <w:r w:rsidRPr="009C31A7">
              <w:rPr>
                <w:rFonts w:asciiTheme="minorHAnsi" w:hAnsiTheme="minorHAnsi" w:cstheme="minorHAnsi"/>
                <w:b/>
                <w:spacing w:val="-11"/>
              </w:rPr>
              <w:t xml:space="preserve"> </w:t>
            </w:r>
            <w:r w:rsidRPr="009C31A7">
              <w:rPr>
                <w:rFonts w:asciiTheme="minorHAnsi" w:hAnsiTheme="minorHAnsi" w:cstheme="minorHAnsi"/>
                <w:b/>
                <w:spacing w:val="-4"/>
              </w:rPr>
              <w:t>Date</w:t>
            </w:r>
          </w:p>
        </w:tc>
        <w:tc>
          <w:tcPr>
            <w:tcW w:w="4030" w:type="dxa"/>
            <w:tcBorders>
              <w:left w:val="single" w:sz="4" w:space="0" w:color="000000"/>
            </w:tcBorders>
          </w:tcPr>
          <w:p w14:paraId="2584C6F6" w14:textId="77777777" w:rsidR="009C31A7" w:rsidRPr="009C31A7" w:rsidRDefault="009C31A7" w:rsidP="00624F2A">
            <w:pPr>
              <w:pStyle w:val="TableParagraph"/>
              <w:spacing w:before="132"/>
              <w:ind w:left="126" w:right="5"/>
              <w:jc w:val="center"/>
              <w:rPr>
                <w:rFonts w:asciiTheme="minorHAnsi" w:hAnsiTheme="minorHAnsi" w:cstheme="minorHAnsi"/>
                <w:b/>
              </w:rPr>
            </w:pPr>
            <w:r w:rsidRPr="001A040D">
              <w:rPr>
                <w:rFonts w:asciiTheme="minorHAnsi" w:hAnsiTheme="minorHAnsi" w:cstheme="minorHAnsi"/>
                <w:b/>
              </w:rPr>
              <w:t>After</w:t>
            </w:r>
            <w:r w:rsidRPr="001A040D">
              <w:rPr>
                <w:rFonts w:asciiTheme="minorHAnsi" w:hAnsiTheme="minorHAnsi" w:cstheme="minorHAnsi"/>
                <w:b/>
                <w:spacing w:val="-4"/>
              </w:rPr>
              <w:t xml:space="preserve"> </w:t>
            </w:r>
            <w:r w:rsidRPr="001A040D">
              <w:rPr>
                <w:rFonts w:asciiTheme="minorHAnsi" w:hAnsiTheme="minorHAnsi" w:cstheme="minorHAnsi"/>
                <w:b/>
              </w:rPr>
              <w:t>every</w:t>
            </w:r>
            <w:r w:rsidRPr="001A040D">
              <w:rPr>
                <w:rFonts w:asciiTheme="minorHAnsi" w:hAnsiTheme="minorHAnsi" w:cstheme="minorHAnsi"/>
                <w:b/>
                <w:spacing w:val="-1"/>
              </w:rPr>
              <w:t xml:space="preserve"> </w:t>
            </w:r>
            <w:r w:rsidRPr="001A040D">
              <w:rPr>
                <w:rFonts w:asciiTheme="minorHAnsi" w:hAnsiTheme="minorHAnsi" w:cstheme="minorHAnsi"/>
                <w:b/>
              </w:rPr>
              <w:t>four</w:t>
            </w:r>
            <w:r w:rsidRPr="001A040D">
              <w:rPr>
                <w:rFonts w:asciiTheme="minorHAnsi" w:hAnsiTheme="minorHAnsi" w:cstheme="minorHAnsi"/>
                <w:b/>
                <w:spacing w:val="-4"/>
              </w:rPr>
              <w:t xml:space="preserve"> </w:t>
            </w:r>
            <w:r w:rsidRPr="001A040D">
              <w:rPr>
                <w:rFonts w:asciiTheme="minorHAnsi" w:hAnsiTheme="minorHAnsi" w:cstheme="minorHAnsi"/>
                <w:b/>
              </w:rPr>
              <w:t>(4)</w:t>
            </w:r>
            <w:r w:rsidRPr="001A040D">
              <w:rPr>
                <w:rFonts w:asciiTheme="minorHAnsi" w:hAnsiTheme="minorHAnsi" w:cstheme="minorHAnsi"/>
                <w:b/>
                <w:spacing w:val="-1"/>
              </w:rPr>
              <w:t xml:space="preserve"> </w:t>
            </w:r>
            <w:r w:rsidRPr="001A040D">
              <w:rPr>
                <w:rFonts w:asciiTheme="minorHAnsi" w:hAnsiTheme="minorHAnsi" w:cstheme="minorHAnsi"/>
                <w:b/>
                <w:spacing w:val="-4"/>
              </w:rPr>
              <w:t>years</w:t>
            </w:r>
          </w:p>
        </w:tc>
      </w:tr>
      <w:tr w:rsidR="009C31A7" w:rsidRPr="009C31A7" w14:paraId="0147AA4F" w14:textId="77777777" w:rsidTr="00624F2A">
        <w:trPr>
          <w:trHeight w:val="2894"/>
        </w:trPr>
        <w:tc>
          <w:tcPr>
            <w:tcW w:w="3937" w:type="dxa"/>
            <w:tcBorders>
              <w:right w:val="single" w:sz="4" w:space="0" w:color="000000"/>
            </w:tcBorders>
          </w:tcPr>
          <w:p w14:paraId="1131E5A6" w14:textId="77777777" w:rsidR="009C31A7" w:rsidRPr="009C31A7" w:rsidRDefault="009C31A7" w:rsidP="00624F2A">
            <w:pPr>
              <w:pStyle w:val="TableParagraph"/>
              <w:spacing w:before="134"/>
              <w:ind w:right="208"/>
              <w:jc w:val="center"/>
              <w:rPr>
                <w:rFonts w:asciiTheme="minorHAnsi" w:hAnsiTheme="minorHAnsi" w:cstheme="minorHAnsi"/>
                <w:b/>
              </w:rPr>
            </w:pPr>
            <w:r w:rsidRPr="009C31A7">
              <w:rPr>
                <w:rFonts w:asciiTheme="minorHAnsi" w:hAnsiTheme="minorHAnsi" w:cstheme="minorHAnsi"/>
                <w:b/>
              </w:rPr>
              <w:t>Stakeholders</w:t>
            </w:r>
            <w:r w:rsidRPr="009C31A7">
              <w:rPr>
                <w:rFonts w:asciiTheme="minorHAnsi" w:hAnsiTheme="minorHAnsi" w:cstheme="minorHAnsi"/>
                <w:b/>
                <w:spacing w:val="-2"/>
              </w:rPr>
              <w:t xml:space="preserve"> </w:t>
            </w:r>
            <w:r w:rsidRPr="009C31A7">
              <w:rPr>
                <w:rFonts w:asciiTheme="minorHAnsi" w:hAnsiTheme="minorHAnsi" w:cstheme="minorHAnsi"/>
                <w:b/>
              </w:rPr>
              <w:t>affected</w:t>
            </w:r>
            <w:r w:rsidRPr="009C31A7">
              <w:rPr>
                <w:rFonts w:asciiTheme="minorHAnsi" w:hAnsiTheme="minorHAnsi" w:cstheme="minorHAnsi"/>
                <w:b/>
                <w:spacing w:val="-2"/>
              </w:rPr>
              <w:t xml:space="preserve"> </w:t>
            </w:r>
            <w:r w:rsidRPr="009C31A7">
              <w:rPr>
                <w:rFonts w:asciiTheme="minorHAnsi" w:hAnsiTheme="minorHAnsi" w:cstheme="minorHAnsi"/>
                <w:b/>
              </w:rPr>
              <w:t>by</w:t>
            </w:r>
            <w:r w:rsidRPr="009C31A7">
              <w:rPr>
                <w:rFonts w:asciiTheme="minorHAnsi" w:hAnsiTheme="minorHAnsi" w:cstheme="minorHAnsi"/>
                <w:b/>
                <w:spacing w:val="-2"/>
              </w:rPr>
              <w:t xml:space="preserve"> </w:t>
            </w:r>
            <w:r w:rsidRPr="009C31A7">
              <w:rPr>
                <w:rFonts w:asciiTheme="minorHAnsi" w:hAnsiTheme="minorHAnsi" w:cstheme="minorHAnsi"/>
                <w:b/>
              </w:rPr>
              <w:t>this</w:t>
            </w:r>
            <w:r w:rsidRPr="009C31A7">
              <w:rPr>
                <w:rFonts w:asciiTheme="minorHAnsi" w:hAnsiTheme="minorHAnsi" w:cstheme="minorHAnsi"/>
                <w:b/>
                <w:spacing w:val="-1"/>
              </w:rPr>
              <w:t xml:space="preserve"> </w:t>
            </w:r>
            <w:r w:rsidRPr="009C31A7">
              <w:rPr>
                <w:rFonts w:asciiTheme="minorHAnsi" w:hAnsiTheme="minorHAnsi" w:cstheme="minorHAnsi"/>
                <w:b/>
                <w:spacing w:val="-2"/>
              </w:rPr>
              <w:t>policy</w:t>
            </w:r>
          </w:p>
        </w:tc>
        <w:tc>
          <w:tcPr>
            <w:tcW w:w="4030" w:type="dxa"/>
            <w:tcBorders>
              <w:left w:val="single" w:sz="4" w:space="0" w:color="000000"/>
            </w:tcBorders>
          </w:tcPr>
          <w:p w14:paraId="4243B98B" w14:textId="77777777" w:rsidR="009C31A7" w:rsidRPr="009C31A7" w:rsidRDefault="009C31A7" w:rsidP="00624F2A">
            <w:pPr>
              <w:pStyle w:val="TableParagraph"/>
              <w:spacing w:before="134" w:line="480" w:lineRule="auto"/>
              <w:ind w:left="169" w:right="48" w:firstLine="4"/>
              <w:jc w:val="center"/>
              <w:rPr>
                <w:rFonts w:asciiTheme="minorHAnsi" w:hAnsiTheme="minorHAnsi" w:cstheme="minorHAnsi"/>
                <w:b/>
              </w:rPr>
            </w:pPr>
            <w:r w:rsidRPr="009C31A7">
              <w:rPr>
                <w:rFonts w:asciiTheme="minorHAnsi" w:hAnsiTheme="minorHAnsi" w:cstheme="minorHAnsi"/>
                <w:b/>
              </w:rPr>
              <w:t>All</w:t>
            </w:r>
            <w:r w:rsidRPr="009C31A7">
              <w:rPr>
                <w:rFonts w:asciiTheme="minorHAnsi" w:hAnsiTheme="minorHAnsi" w:cstheme="minorHAnsi"/>
                <w:b/>
                <w:spacing w:val="-6"/>
              </w:rPr>
              <w:t xml:space="preserve"> </w:t>
            </w:r>
            <w:r w:rsidRPr="009C31A7">
              <w:rPr>
                <w:rFonts w:asciiTheme="minorHAnsi" w:hAnsiTheme="minorHAnsi" w:cstheme="minorHAnsi"/>
                <w:b/>
              </w:rPr>
              <w:t>categories</w:t>
            </w:r>
            <w:r w:rsidRPr="009C31A7">
              <w:rPr>
                <w:rFonts w:asciiTheme="minorHAnsi" w:hAnsiTheme="minorHAnsi" w:cstheme="minorHAnsi"/>
                <w:b/>
                <w:spacing w:val="-4"/>
              </w:rPr>
              <w:t xml:space="preserve"> </w:t>
            </w:r>
            <w:r w:rsidRPr="009C31A7">
              <w:rPr>
                <w:rFonts w:asciiTheme="minorHAnsi" w:hAnsiTheme="minorHAnsi" w:cstheme="minorHAnsi"/>
                <w:b/>
              </w:rPr>
              <w:t>of</w:t>
            </w:r>
            <w:r w:rsidRPr="009C31A7">
              <w:rPr>
                <w:rFonts w:asciiTheme="minorHAnsi" w:hAnsiTheme="minorHAnsi" w:cstheme="minorHAnsi"/>
                <w:b/>
                <w:spacing w:val="-4"/>
              </w:rPr>
              <w:t xml:space="preserve"> </w:t>
            </w:r>
            <w:r w:rsidRPr="009C31A7">
              <w:rPr>
                <w:rFonts w:asciiTheme="minorHAnsi" w:hAnsiTheme="minorHAnsi" w:cstheme="minorHAnsi"/>
                <w:b/>
              </w:rPr>
              <w:t>staff</w:t>
            </w:r>
            <w:r w:rsidRPr="009C31A7">
              <w:rPr>
                <w:rFonts w:asciiTheme="minorHAnsi" w:hAnsiTheme="minorHAnsi" w:cstheme="minorHAnsi"/>
                <w:b/>
                <w:spacing w:val="-5"/>
              </w:rPr>
              <w:t xml:space="preserve"> </w:t>
            </w:r>
            <w:r w:rsidRPr="009C31A7">
              <w:rPr>
                <w:rFonts w:asciiTheme="minorHAnsi" w:hAnsiTheme="minorHAnsi" w:cstheme="minorHAnsi"/>
                <w:b/>
              </w:rPr>
              <w:t>and</w:t>
            </w:r>
            <w:r w:rsidRPr="009C31A7">
              <w:rPr>
                <w:rFonts w:asciiTheme="minorHAnsi" w:hAnsiTheme="minorHAnsi" w:cstheme="minorHAnsi"/>
                <w:b/>
                <w:spacing w:val="-4"/>
              </w:rPr>
              <w:t xml:space="preserve"> </w:t>
            </w:r>
            <w:r w:rsidRPr="009C31A7">
              <w:rPr>
                <w:rFonts w:asciiTheme="minorHAnsi" w:hAnsiTheme="minorHAnsi" w:cstheme="minorHAnsi"/>
                <w:b/>
              </w:rPr>
              <w:t>students</w:t>
            </w:r>
            <w:r w:rsidRPr="009C31A7">
              <w:rPr>
                <w:rFonts w:asciiTheme="minorHAnsi" w:hAnsiTheme="minorHAnsi" w:cstheme="minorHAnsi"/>
                <w:b/>
                <w:spacing w:val="-4"/>
              </w:rPr>
              <w:t xml:space="preserve"> </w:t>
            </w:r>
            <w:r w:rsidRPr="009C31A7">
              <w:rPr>
                <w:rFonts w:asciiTheme="minorHAnsi" w:hAnsiTheme="minorHAnsi" w:cstheme="minorHAnsi"/>
                <w:b/>
              </w:rPr>
              <w:t>of University of Nigeria Nsukka as well as</w:t>
            </w:r>
            <w:r w:rsidRPr="009C31A7">
              <w:rPr>
                <w:rFonts w:asciiTheme="minorHAnsi" w:hAnsiTheme="minorHAnsi" w:cstheme="minorHAnsi"/>
                <w:b/>
                <w:spacing w:val="-8"/>
              </w:rPr>
              <w:t xml:space="preserve"> </w:t>
            </w:r>
            <w:r w:rsidRPr="009C31A7">
              <w:rPr>
                <w:rFonts w:asciiTheme="minorHAnsi" w:hAnsiTheme="minorHAnsi" w:cstheme="minorHAnsi"/>
                <w:b/>
              </w:rPr>
              <w:t>their</w:t>
            </w:r>
            <w:r w:rsidRPr="009C31A7">
              <w:rPr>
                <w:rFonts w:asciiTheme="minorHAnsi" w:hAnsiTheme="minorHAnsi" w:cstheme="minorHAnsi"/>
                <w:b/>
                <w:spacing w:val="-10"/>
              </w:rPr>
              <w:t xml:space="preserve"> </w:t>
            </w:r>
            <w:r w:rsidRPr="009C31A7">
              <w:rPr>
                <w:rFonts w:asciiTheme="minorHAnsi" w:hAnsiTheme="minorHAnsi" w:cstheme="minorHAnsi"/>
                <w:b/>
              </w:rPr>
              <w:t>partners</w:t>
            </w:r>
            <w:r w:rsidRPr="009C31A7">
              <w:rPr>
                <w:rFonts w:asciiTheme="minorHAnsi" w:hAnsiTheme="minorHAnsi" w:cstheme="minorHAnsi"/>
                <w:b/>
                <w:spacing w:val="-7"/>
              </w:rPr>
              <w:t xml:space="preserve"> </w:t>
            </w:r>
            <w:r w:rsidRPr="009C31A7">
              <w:rPr>
                <w:rFonts w:asciiTheme="minorHAnsi" w:hAnsiTheme="minorHAnsi" w:cstheme="minorHAnsi"/>
                <w:b/>
              </w:rPr>
              <w:t>(JAMB,</w:t>
            </w:r>
            <w:r w:rsidRPr="009C31A7">
              <w:rPr>
                <w:rFonts w:asciiTheme="minorHAnsi" w:hAnsiTheme="minorHAnsi" w:cstheme="minorHAnsi"/>
                <w:b/>
                <w:spacing w:val="-9"/>
              </w:rPr>
              <w:t xml:space="preserve"> </w:t>
            </w:r>
            <w:r w:rsidRPr="009C31A7">
              <w:rPr>
                <w:rFonts w:asciiTheme="minorHAnsi" w:hAnsiTheme="minorHAnsi" w:cstheme="minorHAnsi"/>
                <w:b/>
              </w:rPr>
              <w:t>ALUMINI, FGN and local and International</w:t>
            </w:r>
          </w:p>
          <w:p w14:paraId="3B31D1BA" w14:textId="77777777" w:rsidR="009C31A7" w:rsidRPr="009C31A7" w:rsidRDefault="009C31A7" w:rsidP="00624F2A">
            <w:pPr>
              <w:pStyle w:val="TableParagraph"/>
              <w:spacing w:line="274" w:lineRule="exact"/>
              <w:ind w:left="126" w:right="6"/>
              <w:jc w:val="center"/>
              <w:rPr>
                <w:rFonts w:asciiTheme="minorHAnsi" w:hAnsiTheme="minorHAnsi" w:cstheme="minorHAnsi"/>
                <w:b/>
              </w:rPr>
            </w:pPr>
            <w:r w:rsidRPr="009C31A7">
              <w:rPr>
                <w:rFonts w:asciiTheme="minorHAnsi" w:hAnsiTheme="minorHAnsi" w:cstheme="minorHAnsi"/>
                <w:b/>
                <w:spacing w:val="-2"/>
              </w:rPr>
              <w:t>collaborators)</w:t>
            </w:r>
          </w:p>
        </w:tc>
      </w:tr>
    </w:tbl>
    <w:p w14:paraId="355D5518" w14:textId="77777777" w:rsidR="009C31A7" w:rsidRPr="009C31A7" w:rsidRDefault="009C31A7" w:rsidP="009C31A7">
      <w:pPr>
        <w:rPr>
          <w:rFonts w:cstheme="minorHAnsi"/>
        </w:rPr>
      </w:pPr>
    </w:p>
    <w:p w14:paraId="58963CA1" w14:textId="77777777" w:rsidR="009C31A7" w:rsidRPr="009C31A7" w:rsidRDefault="009C31A7" w:rsidP="009C31A7">
      <w:pPr>
        <w:rPr>
          <w:rFonts w:cstheme="minorHAnsi"/>
        </w:rPr>
      </w:pPr>
    </w:p>
    <w:p w14:paraId="16A0D9B3" w14:textId="77777777" w:rsidR="009C31A7" w:rsidRPr="009C31A7" w:rsidRDefault="009C31A7" w:rsidP="009C31A7">
      <w:pPr>
        <w:rPr>
          <w:rFonts w:cstheme="minorHAnsi"/>
        </w:rPr>
      </w:pPr>
    </w:p>
    <w:p w14:paraId="33CC64B8" w14:textId="77777777" w:rsidR="009C31A7" w:rsidRPr="009C31A7" w:rsidRDefault="009C31A7" w:rsidP="009C31A7">
      <w:pPr>
        <w:rPr>
          <w:rFonts w:cstheme="minorHAnsi"/>
        </w:rPr>
      </w:pPr>
    </w:p>
    <w:p w14:paraId="4340C5A1" w14:textId="77777777" w:rsidR="009C31A7" w:rsidRPr="009C31A7" w:rsidRDefault="009C31A7" w:rsidP="009C31A7">
      <w:pPr>
        <w:rPr>
          <w:rFonts w:cstheme="minorHAnsi"/>
        </w:rPr>
      </w:pPr>
    </w:p>
    <w:p w14:paraId="26EA82B6" w14:textId="77777777" w:rsidR="009C31A7" w:rsidRPr="009C31A7" w:rsidRDefault="009C31A7" w:rsidP="009C31A7">
      <w:pPr>
        <w:rPr>
          <w:rFonts w:cstheme="minorHAnsi"/>
        </w:rPr>
      </w:pPr>
    </w:p>
    <w:p w14:paraId="0DA55610" w14:textId="77777777" w:rsidR="009C31A7" w:rsidRPr="009C31A7" w:rsidRDefault="009C31A7" w:rsidP="009C31A7">
      <w:pPr>
        <w:rPr>
          <w:rFonts w:cstheme="minorHAnsi"/>
        </w:rPr>
      </w:pPr>
    </w:p>
    <w:p w14:paraId="1AE36467" w14:textId="4034D33A" w:rsidR="009C31A7" w:rsidRDefault="009C31A7" w:rsidP="009C31A7">
      <w:pPr>
        <w:rPr>
          <w:rFonts w:cstheme="minorHAnsi"/>
        </w:rPr>
      </w:pPr>
    </w:p>
    <w:sdt>
      <w:sdtPr>
        <w:rPr>
          <w:rFonts w:asciiTheme="minorHAnsi" w:eastAsiaTheme="minorHAnsi" w:hAnsiTheme="minorHAnsi" w:cstheme="minorBidi"/>
          <w:color w:val="auto"/>
          <w:sz w:val="22"/>
          <w:szCs w:val="22"/>
        </w:rPr>
        <w:id w:val="-425346800"/>
        <w:docPartObj>
          <w:docPartGallery w:val="Table of Contents"/>
          <w:docPartUnique/>
        </w:docPartObj>
      </w:sdtPr>
      <w:sdtEndPr>
        <w:rPr>
          <w:b/>
          <w:bCs/>
          <w:noProof/>
        </w:rPr>
      </w:sdtEndPr>
      <w:sdtContent>
        <w:p w14:paraId="46BAC134" w14:textId="0FEC3253" w:rsidR="009C31A7" w:rsidRDefault="009C31A7">
          <w:pPr>
            <w:pStyle w:val="TOCHeading"/>
          </w:pPr>
          <w:r>
            <w:t>Table of Contents</w:t>
          </w:r>
        </w:p>
        <w:p w14:paraId="0EE3534C" w14:textId="60FB2324" w:rsidR="009C31A7" w:rsidRDefault="009C31A7">
          <w:pPr>
            <w:pStyle w:val="TOC1"/>
            <w:tabs>
              <w:tab w:val="right" w:leader="dot" w:pos="9350"/>
            </w:tabs>
            <w:rPr>
              <w:noProof/>
            </w:rPr>
          </w:pPr>
          <w:r>
            <w:fldChar w:fldCharType="begin"/>
          </w:r>
          <w:r>
            <w:instrText xml:space="preserve"> TOC \o "1-3" \h \z \u </w:instrText>
          </w:r>
          <w:r>
            <w:fldChar w:fldCharType="separate"/>
          </w:r>
          <w:hyperlink w:anchor="_Toc180966376" w:history="1">
            <w:r w:rsidRPr="003D6B2C">
              <w:rPr>
                <w:rStyle w:val="Hyperlink"/>
                <w:rFonts w:eastAsia="Times New Roman"/>
                <w:noProof/>
              </w:rPr>
              <w:t>1. Introduction</w:t>
            </w:r>
            <w:r>
              <w:rPr>
                <w:noProof/>
                <w:webHidden/>
              </w:rPr>
              <w:tab/>
            </w:r>
            <w:r>
              <w:rPr>
                <w:noProof/>
                <w:webHidden/>
              </w:rPr>
              <w:fldChar w:fldCharType="begin"/>
            </w:r>
            <w:r>
              <w:rPr>
                <w:noProof/>
                <w:webHidden/>
              </w:rPr>
              <w:instrText xml:space="preserve"> PAGEREF _Toc180966376 \h </w:instrText>
            </w:r>
            <w:r>
              <w:rPr>
                <w:noProof/>
                <w:webHidden/>
              </w:rPr>
            </w:r>
            <w:r>
              <w:rPr>
                <w:noProof/>
                <w:webHidden/>
              </w:rPr>
              <w:fldChar w:fldCharType="separate"/>
            </w:r>
            <w:r>
              <w:rPr>
                <w:noProof/>
                <w:webHidden/>
              </w:rPr>
              <w:t>2</w:t>
            </w:r>
            <w:r>
              <w:rPr>
                <w:noProof/>
                <w:webHidden/>
              </w:rPr>
              <w:fldChar w:fldCharType="end"/>
            </w:r>
          </w:hyperlink>
        </w:p>
        <w:p w14:paraId="41FF31CC" w14:textId="1E65EA55" w:rsidR="009C31A7" w:rsidRDefault="00000000">
          <w:pPr>
            <w:pStyle w:val="TOC1"/>
            <w:tabs>
              <w:tab w:val="right" w:leader="dot" w:pos="9350"/>
            </w:tabs>
            <w:rPr>
              <w:noProof/>
            </w:rPr>
          </w:pPr>
          <w:hyperlink w:anchor="_Toc180966377" w:history="1">
            <w:r w:rsidR="009C31A7" w:rsidRPr="003D6B2C">
              <w:rPr>
                <w:rStyle w:val="Hyperlink"/>
                <w:rFonts w:eastAsia="Times New Roman"/>
                <w:noProof/>
              </w:rPr>
              <w:t>2. Student Admission</w:t>
            </w:r>
            <w:r w:rsidR="009C31A7">
              <w:rPr>
                <w:noProof/>
                <w:webHidden/>
              </w:rPr>
              <w:tab/>
            </w:r>
            <w:r w:rsidR="009C31A7">
              <w:rPr>
                <w:noProof/>
                <w:webHidden/>
              </w:rPr>
              <w:fldChar w:fldCharType="begin"/>
            </w:r>
            <w:r w:rsidR="009C31A7">
              <w:rPr>
                <w:noProof/>
                <w:webHidden/>
              </w:rPr>
              <w:instrText xml:space="preserve"> PAGEREF _Toc180966377 \h </w:instrText>
            </w:r>
            <w:r w:rsidR="009C31A7">
              <w:rPr>
                <w:noProof/>
                <w:webHidden/>
              </w:rPr>
            </w:r>
            <w:r w:rsidR="009C31A7">
              <w:rPr>
                <w:noProof/>
                <w:webHidden/>
              </w:rPr>
              <w:fldChar w:fldCharType="separate"/>
            </w:r>
            <w:r w:rsidR="009C31A7">
              <w:rPr>
                <w:noProof/>
                <w:webHidden/>
              </w:rPr>
              <w:t>3</w:t>
            </w:r>
            <w:r w:rsidR="009C31A7">
              <w:rPr>
                <w:noProof/>
                <w:webHidden/>
              </w:rPr>
              <w:fldChar w:fldCharType="end"/>
            </w:r>
          </w:hyperlink>
        </w:p>
        <w:p w14:paraId="762638DF" w14:textId="1513152F" w:rsidR="009C31A7" w:rsidRDefault="00000000">
          <w:pPr>
            <w:pStyle w:val="TOC2"/>
            <w:tabs>
              <w:tab w:val="right" w:leader="dot" w:pos="9350"/>
            </w:tabs>
            <w:rPr>
              <w:noProof/>
            </w:rPr>
          </w:pPr>
          <w:hyperlink w:anchor="_Toc180966378" w:history="1">
            <w:r w:rsidR="009C31A7" w:rsidRPr="003D6B2C">
              <w:rPr>
                <w:rStyle w:val="Hyperlink"/>
                <w:rFonts w:eastAsia="Times New Roman"/>
                <w:noProof/>
              </w:rPr>
              <w:t>2.1. Principles</w:t>
            </w:r>
            <w:r w:rsidR="009C31A7">
              <w:rPr>
                <w:noProof/>
                <w:webHidden/>
              </w:rPr>
              <w:tab/>
            </w:r>
            <w:r w:rsidR="009C31A7">
              <w:rPr>
                <w:noProof/>
                <w:webHidden/>
              </w:rPr>
              <w:fldChar w:fldCharType="begin"/>
            </w:r>
            <w:r w:rsidR="009C31A7">
              <w:rPr>
                <w:noProof/>
                <w:webHidden/>
              </w:rPr>
              <w:instrText xml:space="preserve"> PAGEREF _Toc180966378 \h </w:instrText>
            </w:r>
            <w:r w:rsidR="009C31A7">
              <w:rPr>
                <w:noProof/>
                <w:webHidden/>
              </w:rPr>
            </w:r>
            <w:r w:rsidR="009C31A7">
              <w:rPr>
                <w:noProof/>
                <w:webHidden/>
              </w:rPr>
              <w:fldChar w:fldCharType="separate"/>
            </w:r>
            <w:r w:rsidR="009C31A7">
              <w:rPr>
                <w:noProof/>
                <w:webHidden/>
              </w:rPr>
              <w:t>3</w:t>
            </w:r>
            <w:r w:rsidR="009C31A7">
              <w:rPr>
                <w:noProof/>
                <w:webHidden/>
              </w:rPr>
              <w:fldChar w:fldCharType="end"/>
            </w:r>
          </w:hyperlink>
        </w:p>
        <w:p w14:paraId="3360B414" w14:textId="71191806" w:rsidR="009C31A7" w:rsidRDefault="00000000">
          <w:pPr>
            <w:pStyle w:val="TOC2"/>
            <w:tabs>
              <w:tab w:val="right" w:leader="dot" w:pos="9350"/>
            </w:tabs>
            <w:rPr>
              <w:noProof/>
            </w:rPr>
          </w:pPr>
          <w:hyperlink w:anchor="_Toc180966379" w:history="1">
            <w:r w:rsidR="009C31A7" w:rsidRPr="003D6B2C">
              <w:rPr>
                <w:rStyle w:val="Hyperlink"/>
                <w:rFonts w:eastAsia="Times New Roman"/>
                <w:noProof/>
              </w:rPr>
              <w:t>2.2. Procedures</w:t>
            </w:r>
            <w:r w:rsidR="009C31A7">
              <w:rPr>
                <w:noProof/>
                <w:webHidden/>
              </w:rPr>
              <w:tab/>
            </w:r>
            <w:r w:rsidR="009C31A7">
              <w:rPr>
                <w:noProof/>
                <w:webHidden/>
              </w:rPr>
              <w:fldChar w:fldCharType="begin"/>
            </w:r>
            <w:r w:rsidR="009C31A7">
              <w:rPr>
                <w:noProof/>
                <w:webHidden/>
              </w:rPr>
              <w:instrText xml:space="preserve"> PAGEREF _Toc180966379 \h </w:instrText>
            </w:r>
            <w:r w:rsidR="009C31A7">
              <w:rPr>
                <w:noProof/>
                <w:webHidden/>
              </w:rPr>
            </w:r>
            <w:r w:rsidR="009C31A7">
              <w:rPr>
                <w:noProof/>
                <w:webHidden/>
              </w:rPr>
              <w:fldChar w:fldCharType="separate"/>
            </w:r>
            <w:r w:rsidR="009C31A7">
              <w:rPr>
                <w:noProof/>
                <w:webHidden/>
              </w:rPr>
              <w:t>3</w:t>
            </w:r>
            <w:r w:rsidR="009C31A7">
              <w:rPr>
                <w:noProof/>
                <w:webHidden/>
              </w:rPr>
              <w:fldChar w:fldCharType="end"/>
            </w:r>
          </w:hyperlink>
        </w:p>
        <w:p w14:paraId="1FE940DA" w14:textId="2F9E7F74" w:rsidR="009C31A7" w:rsidRDefault="00000000">
          <w:pPr>
            <w:pStyle w:val="TOC1"/>
            <w:tabs>
              <w:tab w:val="right" w:leader="dot" w:pos="9350"/>
            </w:tabs>
            <w:rPr>
              <w:noProof/>
            </w:rPr>
          </w:pPr>
          <w:hyperlink w:anchor="_Toc180966380" w:history="1">
            <w:r w:rsidR="009C31A7" w:rsidRPr="003D6B2C">
              <w:rPr>
                <w:rStyle w:val="Hyperlink"/>
                <w:rFonts w:eastAsia="Times New Roman"/>
                <w:noProof/>
              </w:rPr>
              <w:t>3. Student Progression</w:t>
            </w:r>
            <w:r w:rsidR="009C31A7">
              <w:rPr>
                <w:noProof/>
                <w:webHidden/>
              </w:rPr>
              <w:tab/>
            </w:r>
            <w:r w:rsidR="009C31A7">
              <w:rPr>
                <w:noProof/>
                <w:webHidden/>
              </w:rPr>
              <w:fldChar w:fldCharType="begin"/>
            </w:r>
            <w:r w:rsidR="009C31A7">
              <w:rPr>
                <w:noProof/>
                <w:webHidden/>
              </w:rPr>
              <w:instrText xml:space="preserve"> PAGEREF _Toc180966380 \h </w:instrText>
            </w:r>
            <w:r w:rsidR="009C31A7">
              <w:rPr>
                <w:noProof/>
                <w:webHidden/>
              </w:rPr>
            </w:r>
            <w:r w:rsidR="009C31A7">
              <w:rPr>
                <w:noProof/>
                <w:webHidden/>
              </w:rPr>
              <w:fldChar w:fldCharType="separate"/>
            </w:r>
            <w:r w:rsidR="009C31A7">
              <w:rPr>
                <w:noProof/>
                <w:webHidden/>
              </w:rPr>
              <w:t>3</w:t>
            </w:r>
            <w:r w:rsidR="009C31A7">
              <w:rPr>
                <w:noProof/>
                <w:webHidden/>
              </w:rPr>
              <w:fldChar w:fldCharType="end"/>
            </w:r>
          </w:hyperlink>
        </w:p>
        <w:p w14:paraId="5269C003" w14:textId="706FB52D" w:rsidR="009C31A7" w:rsidRDefault="00000000">
          <w:pPr>
            <w:pStyle w:val="TOC2"/>
            <w:tabs>
              <w:tab w:val="right" w:leader="dot" w:pos="9350"/>
            </w:tabs>
            <w:rPr>
              <w:noProof/>
            </w:rPr>
          </w:pPr>
          <w:hyperlink w:anchor="_Toc180966381" w:history="1">
            <w:r w:rsidR="009C31A7" w:rsidRPr="003D6B2C">
              <w:rPr>
                <w:rStyle w:val="Hyperlink"/>
                <w:rFonts w:eastAsia="Times New Roman"/>
                <w:noProof/>
              </w:rPr>
              <w:t>3.1. Principles</w:t>
            </w:r>
            <w:r w:rsidR="009C31A7">
              <w:rPr>
                <w:noProof/>
                <w:webHidden/>
              </w:rPr>
              <w:tab/>
            </w:r>
            <w:r w:rsidR="009C31A7">
              <w:rPr>
                <w:noProof/>
                <w:webHidden/>
              </w:rPr>
              <w:fldChar w:fldCharType="begin"/>
            </w:r>
            <w:r w:rsidR="009C31A7">
              <w:rPr>
                <w:noProof/>
                <w:webHidden/>
              </w:rPr>
              <w:instrText xml:space="preserve"> PAGEREF _Toc180966381 \h </w:instrText>
            </w:r>
            <w:r w:rsidR="009C31A7">
              <w:rPr>
                <w:noProof/>
                <w:webHidden/>
              </w:rPr>
            </w:r>
            <w:r w:rsidR="009C31A7">
              <w:rPr>
                <w:noProof/>
                <w:webHidden/>
              </w:rPr>
              <w:fldChar w:fldCharType="separate"/>
            </w:r>
            <w:r w:rsidR="009C31A7">
              <w:rPr>
                <w:noProof/>
                <w:webHidden/>
              </w:rPr>
              <w:t>3</w:t>
            </w:r>
            <w:r w:rsidR="009C31A7">
              <w:rPr>
                <w:noProof/>
                <w:webHidden/>
              </w:rPr>
              <w:fldChar w:fldCharType="end"/>
            </w:r>
          </w:hyperlink>
        </w:p>
        <w:p w14:paraId="3DF8249B" w14:textId="1E6E9803" w:rsidR="009C31A7" w:rsidRDefault="00000000">
          <w:pPr>
            <w:pStyle w:val="TOC2"/>
            <w:tabs>
              <w:tab w:val="right" w:leader="dot" w:pos="9350"/>
            </w:tabs>
            <w:rPr>
              <w:noProof/>
            </w:rPr>
          </w:pPr>
          <w:hyperlink w:anchor="_Toc180966382" w:history="1">
            <w:r w:rsidR="009C31A7" w:rsidRPr="003D6B2C">
              <w:rPr>
                <w:rStyle w:val="Hyperlink"/>
                <w:rFonts w:eastAsia="Times New Roman"/>
                <w:noProof/>
              </w:rPr>
              <w:t>3.2. Procedures</w:t>
            </w:r>
            <w:r w:rsidR="009C31A7">
              <w:rPr>
                <w:noProof/>
                <w:webHidden/>
              </w:rPr>
              <w:tab/>
            </w:r>
            <w:r w:rsidR="009C31A7">
              <w:rPr>
                <w:noProof/>
                <w:webHidden/>
              </w:rPr>
              <w:fldChar w:fldCharType="begin"/>
            </w:r>
            <w:r w:rsidR="009C31A7">
              <w:rPr>
                <w:noProof/>
                <w:webHidden/>
              </w:rPr>
              <w:instrText xml:space="preserve"> PAGEREF _Toc180966382 \h </w:instrText>
            </w:r>
            <w:r w:rsidR="009C31A7">
              <w:rPr>
                <w:noProof/>
                <w:webHidden/>
              </w:rPr>
            </w:r>
            <w:r w:rsidR="009C31A7">
              <w:rPr>
                <w:noProof/>
                <w:webHidden/>
              </w:rPr>
              <w:fldChar w:fldCharType="separate"/>
            </w:r>
            <w:r w:rsidR="009C31A7">
              <w:rPr>
                <w:noProof/>
                <w:webHidden/>
              </w:rPr>
              <w:t>3</w:t>
            </w:r>
            <w:r w:rsidR="009C31A7">
              <w:rPr>
                <w:noProof/>
                <w:webHidden/>
              </w:rPr>
              <w:fldChar w:fldCharType="end"/>
            </w:r>
          </w:hyperlink>
        </w:p>
        <w:p w14:paraId="73A12F43" w14:textId="080F388B" w:rsidR="009C31A7" w:rsidRDefault="00000000">
          <w:pPr>
            <w:pStyle w:val="TOC1"/>
            <w:tabs>
              <w:tab w:val="right" w:leader="dot" w:pos="9350"/>
            </w:tabs>
            <w:rPr>
              <w:noProof/>
            </w:rPr>
          </w:pPr>
          <w:hyperlink w:anchor="_Toc180966383" w:history="1">
            <w:r w:rsidR="009C31A7" w:rsidRPr="003D6B2C">
              <w:rPr>
                <w:rStyle w:val="Hyperlink"/>
                <w:rFonts w:eastAsia="Times New Roman"/>
                <w:noProof/>
              </w:rPr>
              <w:t>4. Recognition of Prior Learning (RPL)</w:t>
            </w:r>
            <w:r w:rsidR="009C31A7">
              <w:rPr>
                <w:noProof/>
                <w:webHidden/>
              </w:rPr>
              <w:tab/>
            </w:r>
            <w:r w:rsidR="009C31A7">
              <w:rPr>
                <w:noProof/>
                <w:webHidden/>
              </w:rPr>
              <w:fldChar w:fldCharType="begin"/>
            </w:r>
            <w:r w:rsidR="009C31A7">
              <w:rPr>
                <w:noProof/>
                <w:webHidden/>
              </w:rPr>
              <w:instrText xml:space="preserve"> PAGEREF _Toc180966383 \h </w:instrText>
            </w:r>
            <w:r w:rsidR="009C31A7">
              <w:rPr>
                <w:noProof/>
                <w:webHidden/>
              </w:rPr>
            </w:r>
            <w:r w:rsidR="009C31A7">
              <w:rPr>
                <w:noProof/>
                <w:webHidden/>
              </w:rPr>
              <w:fldChar w:fldCharType="separate"/>
            </w:r>
            <w:r w:rsidR="009C31A7">
              <w:rPr>
                <w:noProof/>
                <w:webHidden/>
              </w:rPr>
              <w:t>4</w:t>
            </w:r>
            <w:r w:rsidR="009C31A7">
              <w:rPr>
                <w:noProof/>
                <w:webHidden/>
              </w:rPr>
              <w:fldChar w:fldCharType="end"/>
            </w:r>
          </w:hyperlink>
        </w:p>
        <w:p w14:paraId="099F1F32" w14:textId="21DC1342" w:rsidR="009C31A7" w:rsidRDefault="00000000">
          <w:pPr>
            <w:pStyle w:val="TOC2"/>
            <w:tabs>
              <w:tab w:val="right" w:leader="dot" w:pos="9350"/>
            </w:tabs>
            <w:rPr>
              <w:noProof/>
            </w:rPr>
          </w:pPr>
          <w:hyperlink w:anchor="_Toc180966384" w:history="1">
            <w:r w:rsidR="009C31A7" w:rsidRPr="003D6B2C">
              <w:rPr>
                <w:rStyle w:val="Hyperlink"/>
                <w:rFonts w:eastAsia="Times New Roman"/>
                <w:noProof/>
              </w:rPr>
              <w:t>4.1. Principles</w:t>
            </w:r>
            <w:r w:rsidR="009C31A7">
              <w:rPr>
                <w:noProof/>
                <w:webHidden/>
              </w:rPr>
              <w:tab/>
            </w:r>
            <w:r w:rsidR="009C31A7">
              <w:rPr>
                <w:noProof/>
                <w:webHidden/>
              </w:rPr>
              <w:fldChar w:fldCharType="begin"/>
            </w:r>
            <w:r w:rsidR="009C31A7">
              <w:rPr>
                <w:noProof/>
                <w:webHidden/>
              </w:rPr>
              <w:instrText xml:space="preserve"> PAGEREF _Toc180966384 \h </w:instrText>
            </w:r>
            <w:r w:rsidR="009C31A7">
              <w:rPr>
                <w:noProof/>
                <w:webHidden/>
              </w:rPr>
            </w:r>
            <w:r w:rsidR="009C31A7">
              <w:rPr>
                <w:noProof/>
                <w:webHidden/>
              </w:rPr>
              <w:fldChar w:fldCharType="separate"/>
            </w:r>
            <w:r w:rsidR="009C31A7">
              <w:rPr>
                <w:noProof/>
                <w:webHidden/>
              </w:rPr>
              <w:t>4</w:t>
            </w:r>
            <w:r w:rsidR="009C31A7">
              <w:rPr>
                <w:noProof/>
                <w:webHidden/>
              </w:rPr>
              <w:fldChar w:fldCharType="end"/>
            </w:r>
          </w:hyperlink>
        </w:p>
        <w:p w14:paraId="387C6C66" w14:textId="5B0F5949" w:rsidR="009C31A7" w:rsidRDefault="00000000">
          <w:pPr>
            <w:pStyle w:val="TOC2"/>
            <w:tabs>
              <w:tab w:val="right" w:leader="dot" w:pos="9350"/>
            </w:tabs>
            <w:rPr>
              <w:noProof/>
            </w:rPr>
          </w:pPr>
          <w:hyperlink w:anchor="_Toc180966385" w:history="1">
            <w:r w:rsidR="009C31A7" w:rsidRPr="003D6B2C">
              <w:rPr>
                <w:rStyle w:val="Hyperlink"/>
                <w:rFonts w:eastAsia="Times New Roman"/>
                <w:noProof/>
              </w:rPr>
              <w:t>4.2. Procedures</w:t>
            </w:r>
            <w:r w:rsidR="009C31A7">
              <w:rPr>
                <w:noProof/>
                <w:webHidden/>
              </w:rPr>
              <w:tab/>
            </w:r>
            <w:r w:rsidR="009C31A7">
              <w:rPr>
                <w:noProof/>
                <w:webHidden/>
              </w:rPr>
              <w:fldChar w:fldCharType="begin"/>
            </w:r>
            <w:r w:rsidR="009C31A7">
              <w:rPr>
                <w:noProof/>
                <w:webHidden/>
              </w:rPr>
              <w:instrText xml:space="preserve"> PAGEREF _Toc180966385 \h </w:instrText>
            </w:r>
            <w:r w:rsidR="009C31A7">
              <w:rPr>
                <w:noProof/>
                <w:webHidden/>
              </w:rPr>
            </w:r>
            <w:r w:rsidR="009C31A7">
              <w:rPr>
                <w:noProof/>
                <w:webHidden/>
              </w:rPr>
              <w:fldChar w:fldCharType="separate"/>
            </w:r>
            <w:r w:rsidR="009C31A7">
              <w:rPr>
                <w:noProof/>
                <w:webHidden/>
              </w:rPr>
              <w:t>4</w:t>
            </w:r>
            <w:r w:rsidR="009C31A7">
              <w:rPr>
                <w:noProof/>
                <w:webHidden/>
              </w:rPr>
              <w:fldChar w:fldCharType="end"/>
            </w:r>
          </w:hyperlink>
        </w:p>
        <w:p w14:paraId="1857577B" w14:textId="0CDB848E" w:rsidR="009C31A7" w:rsidRDefault="00000000">
          <w:pPr>
            <w:pStyle w:val="TOC1"/>
            <w:tabs>
              <w:tab w:val="right" w:leader="dot" w:pos="9350"/>
            </w:tabs>
            <w:rPr>
              <w:noProof/>
            </w:rPr>
          </w:pPr>
          <w:hyperlink w:anchor="_Toc180966386" w:history="1">
            <w:r w:rsidR="009C31A7" w:rsidRPr="003D6B2C">
              <w:rPr>
                <w:rStyle w:val="Hyperlink"/>
                <w:rFonts w:eastAsia="Times New Roman"/>
                <w:noProof/>
              </w:rPr>
              <w:t>5. Certification</w:t>
            </w:r>
            <w:r w:rsidR="009C31A7">
              <w:rPr>
                <w:noProof/>
                <w:webHidden/>
              </w:rPr>
              <w:tab/>
            </w:r>
            <w:r w:rsidR="009C31A7">
              <w:rPr>
                <w:noProof/>
                <w:webHidden/>
              </w:rPr>
              <w:fldChar w:fldCharType="begin"/>
            </w:r>
            <w:r w:rsidR="009C31A7">
              <w:rPr>
                <w:noProof/>
                <w:webHidden/>
              </w:rPr>
              <w:instrText xml:space="preserve"> PAGEREF _Toc180966386 \h </w:instrText>
            </w:r>
            <w:r w:rsidR="009C31A7">
              <w:rPr>
                <w:noProof/>
                <w:webHidden/>
              </w:rPr>
            </w:r>
            <w:r w:rsidR="009C31A7">
              <w:rPr>
                <w:noProof/>
                <w:webHidden/>
              </w:rPr>
              <w:fldChar w:fldCharType="separate"/>
            </w:r>
            <w:r w:rsidR="009C31A7">
              <w:rPr>
                <w:noProof/>
                <w:webHidden/>
              </w:rPr>
              <w:t>4</w:t>
            </w:r>
            <w:r w:rsidR="009C31A7">
              <w:rPr>
                <w:noProof/>
                <w:webHidden/>
              </w:rPr>
              <w:fldChar w:fldCharType="end"/>
            </w:r>
          </w:hyperlink>
        </w:p>
        <w:p w14:paraId="69C3B5AA" w14:textId="62966922" w:rsidR="009C31A7" w:rsidRDefault="00000000">
          <w:pPr>
            <w:pStyle w:val="TOC2"/>
            <w:tabs>
              <w:tab w:val="right" w:leader="dot" w:pos="9350"/>
            </w:tabs>
            <w:rPr>
              <w:noProof/>
            </w:rPr>
          </w:pPr>
          <w:hyperlink w:anchor="_Toc180966387" w:history="1">
            <w:r w:rsidR="009C31A7" w:rsidRPr="003D6B2C">
              <w:rPr>
                <w:rStyle w:val="Hyperlink"/>
                <w:rFonts w:eastAsia="Times New Roman"/>
                <w:noProof/>
              </w:rPr>
              <w:t>5.1. Principles</w:t>
            </w:r>
            <w:r w:rsidR="009C31A7">
              <w:rPr>
                <w:noProof/>
                <w:webHidden/>
              </w:rPr>
              <w:tab/>
            </w:r>
            <w:r w:rsidR="009C31A7">
              <w:rPr>
                <w:noProof/>
                <w:webHidden/>
              </w:rPr>
              <w:fldChar w:fldCharType="begin"/>
            </w:r>
            <w:r w:rsidR="009C31A7">
              <w:rPr>
                <w:noProof/>
                <w:webHidden/>
              </w:rPr>
              <w:instrText xml:space="preserve"> PAGEREF _Toc180966387 \h </w:instrText>
            </w:r>
            <w:r w:rsidR="009C31A7">
              <w:rPr>
                <w:noProof/>
                <w:webHidden/>
              </w:rPr>
            </w:r>
            <w:r w:rsidR="009C31A7">
              <w:rPr>
                <w:noProof/>
                <w:webHidden/>
              </w:rPr>
              <w:fldChar w:fldCharType="separate"/>
            </w:r>
            <w:r w:rsidR="009C31A7">
              <w:rPr>
                <w:noProof/>
                <w:webHidden/>
              </w:rPr>
              <w:t>4</w:t>
            </w:r>
            <w:r w:rsidR="009C31A7">
              <w:rPr>
                <w:noProof/>
                <w:webHidden/>
              </w:rPr>
              <w:fldChar w:fldCharType="end"/>
            </w:r>
          </w:hyperlink>
        </w:p>
        <w:p w14:paraId="141D2C81" w14:textId="5617A0EE" w:rsidR="009C31A7" w:rsidRDefault="00000000">
          <w:pPr>
            <w:pStyle w:val="TOC2"/>
            <w:tabs>
              <w:tab w:val="right" w:leader="dot" w:pos="9350"/>
            </w:tabs>
            <w:rPr>
              <w:noProof/>
            </w:rPr>
          </w:pPr>
          <w:hyperlink w:anchor="_Toc180966388" w:history="1">
            <w:r w:rsidR="009C31A7" w:rsidRPr="003D6B2C">
              <w:rPr>
                <w:rStyle w:val="Hyperlink"/>
                <w:rFonts w:eastAsia="Times New Roman"/>
                <w:noProof/>
              </w:rPr>
              <w:t>5.2. Procedures</w:t>
            </w:r>
            <w:r w:rsidR="009C31A7">
              <w:rPr>
                <w:noProof/>
                <w:webHidden/>
              </w:rPr>
              <w:tab/>
            </w:r>
            <w:r w:rsidR="009C31A7">
              <w:rPr>
                <w:noProof/>
                <w:webHidden/>
              </w:rPr>
              <w:fldChar w:fldCharType="begin"/>
            </w:r>
            <w:r w:rsidR="009C31A7">
              <w:rPr>
                <w:noProof/>
                <w:webHidden/>
              </w:rPr>
              <w:instrText xml:space="preserve"> PAGEREF _Toc180966388 \h </w:instrText>
            </w:r>
            <w:r w:rsidR="009C31A7">
              <w:rPr>
                <w:noProof/>
                <w:webHidden/>
              </w:rPr>
            </w:r>
            <w:r w:rsidR="009C31A7">
              <w:rPr>
                <w:noProof/>
                <w:webHidden/>
              </w:rPr>
              <w:fldChar w:fldCharType="separate"/>
            </w:r>
            <w:r w:rsidR="009C31A7">
              <w:rPr>
                <w:noProof/>
                <w:webHidden/>
              </w:rPr>
              <w:t>4</w:t>
            </w:r>
            <w:r w:rsidR="009C31A7">
              <w:rPr>
                <w:noProof/>
                <w:webHidden/>
              </w:rPr>
              <w:fldChar w:fldCharType="end"/>
            </w:r>
          </w:hyperlink>
        </w:p>
        <w:p w14:paraId="3E40FA00" w14:textId="74797170" w:rsidR="009C31A7" w:rsidRDefault="00000000">
          <w:pPr>
            <w:pStyle w:val="TOC1"/>
            <w:tabs>
              <w:tab w:val="right" w:leader="dot" w:pos="9350"/>
            </w:tabs>
            <w:rPr>
              <w:noProof/>
            </w:rPr>
          </w:pPr>
          <w:hyperlink w:anchor="_Toc180966389" w:history="1">
            <w:r w:rsidR="009C31A7" w:rsidRPr="003D6B2C">
              <w:rPr>
                <w:rStyle w:val="Hyperlink"/>
                <w:rFonts w:eastAsia="Times New Roman"/>
                <w:noProof/>
              </w:rPr>
              <w:t>6. Student Malpractice</w:t>
            </w:r>
            <w:r w:rsidR="009C31A7">
              <w:rPr>
                <w:noProof/>
                <w:webHidden/>
              </w:rPr>
              <w:tab/>
            </w:r>
            <w:r w:rsidR="009C31A7">
              <w:rPr>
                <w:noProof/>
                <w:webHidden/>
              </w:rPr>
              <w:fldChar w:fldCharType="begin"/>
            </w:r>
            <w:r w:rsidR="009C31A7">
              <w:rPr>
                <w:noProof/>
                <w:webHidden/>
              </w:rPr>
              <w:instrText xml:space="preserve"> PAGEREF _Toc180966389 \h </w:instrText>
            </w:r>
            <w:r w:rsidR="009C31A7">
              <w:rPr>
                <w:noProof/>
                <w:webHidden/>
              </w:rPr>
            </w:r>
            <w:r w:rsidR="009C31A7">
              <w:rPr>
                <w:noProof/>
                <w:webHidden/>
              </w:rPr>
              <w:fldChar w:fldCharType="separate"/>
            </w:r>
            <w:r w:rsidR="009C31A7">
              <w:rPr>
                <w:noProof/>
                <w:webHidden/>
              </w:rPr>
              <w:t>5</w:t>
            </w:r>
            <w:r w:rsidR="009C31A7">
              <w:rPr>
                <w:noProof/>
                <w:webHidden/>
              </w:rPr>
              <w:fldChar w:fldCharType="end"/>
            </w:r>
          </w:hyperlink>
        </w:p>
        <w:p w14:paraId="5DC3A11F" w14:textId="639D9F33" w:rsidR="009C31A7" w:rsidRDefault="00000000">
          <w:pPr>
            <w:pStyle w:val="TOC2"/>
            <w:tabs>
              <w:tab w:val="right" w:leader="dot" w:pos="9350"/>
            </w:tabs>
            <w:rPr>
              <w:noProof/>
            </w:rPr>
          </w:pPr>
          <w:hyperlink w:anchor="_Toc180966390" w:history="1">
            <w:r w:rsidR="009C31A7" w:rsidRPr="003D6B2C">
              <w:rPr>
                <w:rStyle w:val="Hyperlink"/>
                <w:rFonts w:eastAsia="Times New Roman"/>
                <w:noProof/>
              </w:rPr>
              <w:t>6.1. Principles</w:t>
            </w:r>
            <w:r w:rsidR="009C31A7">
              <w:rPr>
                <w:noProof/>
                <w:webHidden/>
              </w:rPr>
              <w:tab/>
            </w:r>
            <w:r w:rsidR="009C31A7">
              <w:rPr>
                <w:noProof/>
                <w:webHidden/>
              </w:rPr>
              <w:fldChar w:fldCharType="begin"/>
            </w:r>
            <w:r w:rsidR="009C31A7">
              <w:rPr>
                <w:noProof/>
                <w:webHidden/>
              </w:rPr>
              <w:instrText xml:space="preserve"> PAGEREF _Toc180966390 \h </w:instrText>
            </w:r>
            <w:r w:rsidR="009C31A7">
              <w:rPr>
                <w:noProof/>
                <w:webHidden/>
              </w:rPr>
            </w:r>
            <w:r w:rsidR="009C31A7">
              <w:rPr>
                <w:noProof/>
                <w:webHidden/>
              </w:rPr>
              <w:fldChar w:fldCharType="separate"/>
            </w:r>
            <w:r w:rsidR="009C31A7">
              <w:rPr>
                <w:noProof/>
                <w:webHidden/>
              </w:rPr>
              <w:t>5</w:t>
            </w:r>
            <w:r w:rsidR="009C31A7">
              <w:rPr>
                <w:noProof/>
                <w:webHidden/>
              </w:rPr>
              <w:fldChar w:fldCharType="end"/>
            </w:r>
          </w:hyperlink>
        </w:p>
        <w:p w14:paraId="35091B46" w14:textId="4DCC36F5" w:rsidR="009C31A7" w:rsidRDefault="00000000">
          <w:pPr>
            <w:pStyle w:val="TOC2"/>
            <w:tabs>
              <w:tab w:val="right" w:leader="dot" w:pos="9350"/>
            </w:tabs>
            <w:rPr>
              <w:noProof/>
            </w:rPr>
          </w:pPr>
          <w:hyperlink w:anchor="_Toc180966391" w:history="1">
            <w:r w:rsidR="009C31A7" w:rsidRPr="003D6B2C">
              <w:rPr>
                <w:rStyle w:val="Hyperlink"/>
                <w:rFonts w:eastAsia="Times New Roman"/>
                <w:noProof/>
              </w:rPr>
              <w:t>6.2. Procedures</w:t>
            </w:r>
            <w:r w:rsidR="009C31A7">
              <w:rPr>
                <w:noProof/>
                <w:webHidden/>
              </w:rPr>
              <w:tab/>
            </w:r>
            <w:r w:rsidR="009C31A7">
              <w:rPr>
                <w:noProof/>
                <w:webHidden/>
              </w:rPr>
              <w:fldChar w:fldCharType="begin"/>
            </w:r>
            <w:r w:rsidR="009C31A7">
              <w:rPr>
                <w:noProof/>
                <w:webHidden/>
              </w:rPr>
              <w:instrText xml:space="preserve"> PAGEREF _Toc180966391 \h </w:instrText>
            </w:r>
            <w:r w:rsidR="009C31A7">
              <w:rPr>
                <w:noProof/>
                <w:webHidden/>
              </w:rPr>
            </w:r>
            <w:r w:rsidR="009C31A7">
              <w:rPr>
                <w:noProof/>
                <w:webHidden/>
              </w:rPr>
              <w:fldChar w:fldCharType="separate"/>
            </w:r>
            <w:r w:rsidR="009C31A7">
              <w:rPr>
                <w:noProof/>
                <w:webHidden/>
              </w:rPr>
              <w:t>5</w:t>
            </w:r>
            <w:r w:rsidR="009C31A7">
              <w:rPr>
                <w:noProof/>
                <w:webHidden/>
              </w:rPr>
              <w:fldChar w:fldCharType="end"/>
            </w:r>
          </w:hyperlink>
        </w:p>
        <w:p w14:paraId="39680D51" w14:textId="196B8EC4" w:rsidR="009C31A7" w:rsidRDefault="00000000">
          <w:pPr>
            <w:pStyle w:val="TOC1"/>
            <w:tabs>
              <w:tab w:val="right" w:leader="dot" w:pos="9350"/>
            </w:tabs>
            <w:rPr>
              <w:noProof/>
            </w:rPr>
          </w:pPr>
          <w:hyperlink w:anchor="_Toc180966392" w:history="1">
            <w:r w:rsidR="009C31A7" w:rsidRPr="003D6B2C">
              <w:rPr>
                <w:rStyle w:val="Hyperlink"/>
                <w:rFonts w:eastAsia="Times New Roman"/>
                <w:noProof/>
              </w:rPr>
              <w:t>7. Policy Review and Updates</w:t>
            </w:r>
            <w:r w:rsidR="009C31A7">
              <w:rPr>
                <w:noProof/>
                <w:webHidden/>
              </w:rPr>
              <w:tab/>
            </w:r>
            <w:r w:rsidR="009C31A7">
              <w:rPr>
                <w:noProof/>
                <w:webHidden/>
              </w:rPr>
              <w:fldChar w:fldCharType="begin"/>
            </w:r>
            <w:r w:rsidR="009C31A7">
              <w:rPr>
                <w:noProof/>
                <w:webHidden/>
              </w:rPr>
              <w:instrText xml:space="preserve"> PAGEREF _Toc180966392 \h </w:instrText>
            </w:r>
            <w:r w:rsidR="009C31A7">
              <w:rPr>
                <w:noProof/>
                <w:webHidden/>
              </w:rPr>
            </w:r>
            <w:r w:rsidR="009C31A7">
              <w:rPr>
                <w:noProof/>
                <w:webHidden/>
              </w:rPr>
              <w:fldChar w:fldCharType="separate"/>
            </w:r>
            <w:r w:rsidR="009C31A7">
              <w:rPr>
                <w:noProof/>
                <w:webHidden/>
              </w:rPr>
              <w:t>5</w:t>
            </w:r>
            <w:r w:rsidR="009C31A7">
              <w:rPr>
                <w:noProof/>
                <w:webHidden/>
              </w:rPr>
              <w:fldChar w:fldCharType="end"/>
            </w:r>
          </w:hyperlink>
        </w:p>
        <w:p w14:paraId="67D3C1CD" w14:textId="08F7A608" w:rsidR="009C31A7" w:rsidRDefault="00000000">
          <w:pPr>
            <w:pStyle w:val="TOC1"/>
            <w:tabs>
              <w:tab w:val="right" w:leader="dot" w:pos="9350"/>
            </w:tabs>
            <w:rPr>
              <w:noProof/>
            </w:rPr>
          </w:pPr>
          <w:hyperlink w:anchor="_Toc180966393" w:history="1">
            <w:r w:rsidR="009C31A7" w:rsidRPr="003D6B2C">
              <w:rPr>
                <w:rStyle w:val="Hyperlink"/>
                <w:rFonts w:eastAsia="Times New Roman"/>
                <w:noProof/>
              </w:rPr>
              <w:t>8. Responsibilities</w:t>
            </w:r>
            <w:r w:rsidR="009C31A7">
              <w:rPr>
                <w:noProof/>
                <w:webHidden/>
              </w:rPr>
              <w:tab/>
            </w:r>
            <w:r w:rsidR="009C31A7">
              <w:rPr>
                <w:noProof/>
                <w:webHidden/>
              </w:rPr>
              <w:fldChar w:fldCharType="begin"/>
            </w:r>
            <w:r w:rsidR="009C31A7">
              <w:rPr>
                <w:noProof/>
                <w:webHidden/>
              </w:rPr>
              <w:instrText xml:space="preserve"> PAGEREF _Toc180966393 \h </w:instrText>
            </w:r>
            <w:r w:rsidR="009C31A7">
              <w:rPr>
                <w:noProof/>
                <w:webHidden/>
              </w:rPr>
            </w:r>
            <w:r w:rsidR="009C31A7">
              <w:rPr>
                <w:noProof/>
                <w:webHidden/>
              </w:rPr>
              <w:fldChar w:fldCharType="separate"/>
            </w:r>
            <w:r w:rsidR="009C31A7">
              <w:rPr>
                <w:noProof/>
                <w:webHidden/>
              </w:rPr>
              <w:t>6</w:t>
            </w:r>
            <w:r w:rsidR="009C31A7">
              <w:rPr>
                <w:noProof/>
                <w:webHidden/>
              </w:rPr>
              <w:fldChar w:fldCharType="end"/>
            </w:r>
          </w:hyperlink>
        </w:p>
        <w:p w14:paraId="41BECC76" w14:textId="62C8F29E" w:rsidR="009C31A7" w:rsidRDefault="00000000">
          <w:pPr>
            <w:pStyle w:val="TOC1"/>
            <w:tabs>
              <w:tab w:val="right" w:leader="dot" w:pos="9350"/>
            </w:tabs>
            <w:rPr>
              <w:noProof/>
            </w:rPr>
          </w:pPr>
          <w:hyperlink w:anchor="_Toc180966394" w:history="1">
            <w:r w:rsidR="009C31A7" w:rsidRPr="003D6B2C">
              <w:rPr>
                <w:rStyle w:val="Hyperlink"/>
                <w:rFonts w:eastAsia="Times New Roman"/>
                <w:noProof/>
              </w:rPr>
              <w:t>9. Conclusion</w:t>
            </w:r>
            <w:r w:rsidR="009C31A7">
              <w:rPr>
                <w:noProof/>
                <w:webHidden/>
              </w:rPr>
              <w:tab/>
            </w:r>
            <w:r w:rsidR="009C31A7">
              <w:rPr>
                <w:noProof/>
                <w:webHidden/>
              </w:rPr>
              <w:fldChar w:fldCharType="begin"/>
            </w:r>
            <w:r w:rsidR="009C31A7">
              <w:rPr>
                <w:noProof/>
                <w:webHidden/>
              </w:rPr>
              <w:instrText xml:space="preserve"> PAGEREF _Toc180966394 \h </w:instrText>
            </w:r>
            <w:r w:rsidR="009C31A7">
              <w:rPr>
                <w:noProof/>
                <w:webHidden/>
              </w:rPr>
            </w:r>
            <w:r w:rsidR="009C31A7">
              <w:rPr>
                <w:noProof/>
                <w:webHidden/>
              </w:rPr>
              <w:fldChar w:fldCharType="separate"/>
            </w:r>
            <w:r w:rsidR="009C31A7">
              <w:rPr>
                <w:noProof/>
                <w:webHidden/>
              </w:rPr>
              <w:t>6</w:t>
            </w:r>
            <w:r w:rsidR="009C31A7">
              <w:rPr>
                <w:noProof/>
                <w:webHidden/>
              </w:rPr>
              <w:fldChar w:fldCharType="end"/>
            </w:r>
          </w:hyperlink>
        </w:p>
        <w:p w14:paraId="0592C4F5" w14:textId="4FB68F6D" w:rsidR="009C31A7" w:rsidRDefault="009C31A7">
          <w:r>
            <w:rPr>
              <w:b/>
              <w:bCs/>
              <w:noProof/>
            </w:rPr>
            <w:fldChar w:fldCharType="end"/>
          </w:r>
        </w:p>
      </w:sdtContent>
    </w:sdt>
    <w:p w14:paraId="459840BF" w14:textId="50205BC1" w:rsidR="009C31A7" w:rsidRDefault="009C31A7" w:rsidP="009C31A7">
      <w:pPr>
        <w:rPr>
          <w:rFonts w:cstheme="minorHAnsi"/>
        </w:rPr>
      </w:pPr>
    </w:p>
    <w:p w14:paraId="046CD0FC" w14:textId="38FB699F" w:rsidR="009C31A7" w:rsidRDefault="009C31A7" w:rsidP="009C31A7">
      <w:pPr>
        <w:rPr>
          <w:rFonts w:cstheme="minorHAnsi"/>
        </w:rPr>
      </w:pPr>
    </w:p>
    <w:p w14:paraId="200FBF6C" w14:textId="53A274B3" w:rsidR="009C31A7" w:rsidRDefault="009C31A7" w:rsidP="009C31A7">
      <w:pPr>
        <w:rPr>
          <w:rFonts w:cstheme="minorHAnsi"/>
        </w:rPr>
      </w:pPr>
    </w:p>
    <w:p w14:paraId="1A63D5F7" w14:textId="448D0DBA" w:rsidR="009C31A7" w:rsidRDefault="009C31A7" w:rsidP="009C31A7">
      <w:pPr>
        <w:rPr>
          <w:rFonts w:cstheme="minorHAnsi"/>
        </w:rPr>
      </w:pPr>
    </w:p>
    <w:p w14:paraId="72547208" w14:textId="3345CE82" w:rsidR="009C31A7" w:rsidRDefault="009C31A7" w:rsidP="009C31A7">
      <w:pPr>
        <w:rPr>
          <w:rFonts w:cstheme="minorHAnsi"/>
        </w:rPr>
      </w:pPr>
    </w:p>
    <w:p w14:paraId="18102A78" w14:textId="20C3D950" w:rsidR="009C31A7" w:rsidRDefault="009C31A7" w:rsidP="009C31A7">
      <w:pPr>
        <w:rPr>
          <w:rFonts w:cstheme="minorHAnsi"/>
        </w:rPr>
      </w:pPr>
    </w:p>
    <w:p w14:paraId="147493A1" w14:textId="39908D6B" w:rsidR="009C31A7" w:rsidRDefault="009C31A7" w:rsidP="009C31A7">
      <w:pPr>
        <w:rPr>
          <w:rFonts w:cstheme="minorHAnsi"/>
        </w:rPr>
      </w:pPr>
    </w:p>
    <w:p w14:paraId="798E03BB" w14:textId="7B3D7502" w:rsidR="009C31A7" w:rsidRDefault="009C31A7" w:rsidP="009C31A7">
      <w:pPr>
        <w:rPr>
          <w:rFonts w:cstheme="minorHAnsi"/>
        </w:rPr>
      </w:pPr>
    </w:p>
    <w:p w14:paraId="7FBEC5FC" w14:textId="77777777" w:rsidR="009C31A7" w:rsidRPr="009C31A7" w:rsidRDefault="009C31A7" w:rsidP="009C31A7">
      <w:pPr>
        <w:rPr>
          <w:rFonts w:cstheme="minorHAnsi"/>
        </w:rPr>
      </w:pPr>
    </w:p>
    <w:p w14:paraId="76C351D5" w14:textId="77777777" w:rsidR="007D7BC6" w:rsidRPr="009C31A7" w:rsidRDefault="007D7BC6" w:rsidP="009C31A7">
      <w:pPr>
        <w:pStyle w:val="Heading1"/>
        <w:rPr>
          <w:rFonts w:eastAsia="Times New Roman"/>
        </w:rPr>
      </w:pPr>
      <w:bookmarkStart w:id="0" w:name="_Toc180966376"/>
      <w:r w:rsidRPr="009C31A7">
        <w:rPr>
          <w:rFonts w:eastAsia="Times New Roman"/>
        </w:rPr>
        <w:lastRenderedPageBreak/>
        <w:t>1. Introduction</w:t>
      </w:r>
      <w:bookmarkEnd w:id="0"/>
    </w:p>
    <w:p w14:paraId="3E275D61" w14:textId="2B64CBA1" w:rsidR="007D7BC6" w:rsidRPr="009C31A7" w:rsidRDefault="007D7BC6" w:rsidP="00327C7A">
      <w:pPr>
        <w:spacing w:before="100" w:beforeAutospacing="1" w:after="100" w:afterAutospacing="1" w:line="240" w:lineRule="auto"/>
        <w:jc w:val="both"/>
        <w:rPr>
          <w:rFonts w:eastAsia="Times New Roman" w:cstheme="minorHAnsi"/>
          <w:sz w:val="24"/>
          <w:szCs w:val="24"/>
        </w:rPr>
      </w:pPr>
      <w:r w:rsidRPr="009C31A7">
        <w:rPr>
          <w:rFonts w:eastAsia="Times New Roman" w:cstheme="minorHAnsi"/>
          <w:sz w:val="24"/>
          <w:szCs w:val="24"/>
        </w:rPr>
        <w:t xml:space="preserve">This policy outlines the University’s commitment to quality and integrity in the areas of student </w:t>
      </w:r>
      <w:r w:rsidR="00327C7A">
        <w:rPr>
          <w:rFonts w:eastAsia="Times New Roman" w:cstheme="minorHAnsi"/>
          <w:sz w:val="24"/>
          <w:szCs w:val="24"/>
        </w:rPr>
        <w:t xml:space="preserve">management which covers </w:t>
      </w:r>
      <w:r w:rsidRPr="009C31A7">
        <w:rPr>
          <w:rFonts w:eastAsia="Times New Roman" w:cstheme="minorHAnsi"/>
          <w:sz w:val="24"/>
          <w:szCs w:val="24"/>
        </w:rPr>
        <w:t>admission, academic progression, recognition of prior learning, certification, and the prevention and management of student malpractice. The objective is to ensure fairness, transparency, and adherence to the highest academic standards in all processes.</w:t>
      </w:r>
    </w:p>
    <w:p w14:paraId="0736159A" w14:textId="4D0235AD" w:rsidR="007D7BC6" w:rsidRPr="009C31A7" w:rsidRDefault="007D7BC6" w:rsidP="007D7BC6">
      <w:pPr>
        <w:spacing w:after="0" w:line="240" w:lineRule="auto"/>
        <w:rPr>
          <w:rFonts w:eastAsia="Times New Roman" w:cstheme="minorHAnsi"/>
          <w:sz w:val="24"/>
          <w:szCs w:val="24"/>
        </w:rPr>
      </w:pPr>
    </w:p>
    <w:p w14:paraId="40E773BC" w14:textId="77777777" w:rsidR="007D7BC6" w:rsidRPr="009C31A7" w:rsidRDefault="007D7BC6" w:rsidP="009C31A7">
      <w:pPr>
        <w:pStyle w:val="Heading1"/>
        <w:rPr>
          <w:rFonts w:eastAsia="Times New Roman"/>
        </w:rPr>
      </w:pPr>
      <w:bookmarkStart w:id="1" w:name="_Toc180966377"/>
      <w:r w:rsidRPr="009C31A7">
        <w:rPr>
          <w:rFonts w:eastAsia="Times New Roman"/>
        </w:rPr>
        <w:t>2. Student Admission</w:t>
      </w:r>
      <w:bookmarkEnd w:id="1"/>
    </w:p>
    <w:p w14:paraId="0A4FD562" w14:textId="77777777" w:rsidR="007D7BC6" w:rsidRPr="009C31A7" w:rsidRDefault="007D7BC6" w:rsidP="009C31A7">
      <w:pPr>
        <w:pStyle w:val="Heading2"/>
        <w:rPr>
          <w:rFonts w:eastAsia="Times New Roman"/>
        </w:rPr>
      </w:pPr>
      <w:bookmarkStart w:id="2" w:name="_Toc180966378"/>
      <w:r w:rsidRPr="009C31A7">
        <w:rPr>
          <w:rFonts w:eastAsia="Times New Roman"/>
        </w:rPr>
        <w:t>2.1. Principles</w:t>
      </w:r>
      <w:bookmarkEnd w:id="2"/>
    </w:p>
    <w:p w14:paraId="33B9BB29" w14:textId="77777777" w:rsidR="007D7BC6" w:rsidRPr="009C31A7" w:rsidRDefault="007D7BC6" w:rsidP="009C31A7">
      <w:pPr>
        <w:numPr>
          <w:ilvl w:val="0"/>
          <w:numId w:val="1"/>
        </w:numPr>
        <w:spacing w:before="100" w:beforeAutospacing="1" w:after="100" w:afterAutospacing="1" w:line="240" w:lineRule="auto"/>
        <w:jc w:val="both"/>
        <w:rPr>
          <w:rFonts w:eastAsia="Times New Roman" w:cstheme="minorHAnsi"/>
          <w:sz w:val="24"/>
          <w:szCs w:val="24"/>
        </w:rPr>
      </w:pPr>
      <w:r w:rsidRPr="009C31A7">
        <w:rPr>
          <w:rFonts w:eastAsia="Times New Roman" w:cstheme="minorHAnsi"/>
          <w:sz w:val="24"/>
          <w:szCs w:val="24"/>
        </w:rPr>
        <w:t>The University is committed to a fair and transparent admission process based on academic merit and the potential of applicants to succeed.</w:t>
      </w:r>
    </w:p>
    <w:p w14:paraId="774DF453" w14:textId="77777777" w:rsidR="007D7BC6" w:rsidRPr="009C31A7" w:rsidRDefault="007D7BC6" w:rsidP="009C31A7">
      <w:pPr>
        <w:numPr>
          <w:ilvl w:val="0"/>
          <w:numId w:val="1"/>
        </w:numPr>
        <w:spacing w:before="100" w:beforeAutospacing="1" w:after="100" w:afterAutospacing="1" w:line="240" w:lineRule="auto"/>
        <w:jc w:val="both"/>
        <w:rPr>
          <w:rFonts w:eastAsia="Times New Roman" w:cstheme="minorHAnsi"/>
          <w:sz w:val="24"/>
          <w:szCs w:val="24"/>
        </w:rPr>
      </w:pPr>
      <w:r w:rsidRPr="009C31A7">
        <w:rPr>
          <w:rFonts w:eastAsia="Times New Roman" w:cstheme="minorHAnsi"/>
          <w:sz w:val="24"/>
          <w:szCs w:val="24"/>
        </w:rPr>
        <w:t>Admission policies promote diversity, inclusivity, and equal opportunity, in compliance with relevant legal and regulatory frameworks.</w:t>
      </w:r>
    </w:p>
    <w:p w14:paraId="04A30B98" w14:textId="77777777" w:rsidR="007D7BC6" w:rsidRPr="009C31A7" w:rsidRDefault="007D7BC6" w:rsidP="009C31A7">
      <w:pPr>
        <w:pStyle w:val="Heading2"/>
        <w:rPr>
          <w:rFonts w:eastAsia="Times New Roman"/>
        </w:rPr>
      </w:pPr>
      <w:bookmarkStart w:id="3" w:name="_Toc180966379"/>
      <w:r w:rsidRPr="009C31A7">
        <w:rPr>
          <w:rFonts w:eastAsia="Times New Roman"/>
        </w:rPr>
        <w:t>2.2. Procedures</w:t>
      </w:r>
      <w:bookmarkEnd w:id="3"/>
    </w:p>
    <w:p w14:paraId="7E006802" w14:textId="77777777" w:rsidR="007D7BC6" w:rsidRPr="009C31A7" w:rsidRDefault="007D7BC6" w:rsidP="009C31A7">
      <w:pPr>
        <w:numPr>
          <w:ilvl w:val="0"/>
          <w:numId w:val="2"/>
        </w:numPr>
        <w:spacing w:before="100" w:beforeAutospacing="1" w:after="100" w:afterAutospacing="1" w:line="240" w:lineRule="auto"/>
        <w:jc w:val="both"/>
        <w:rPr>
          <w:rFonts w:eastAsia="Times New Roman" w:cstheme="minorHAnsi"/>
          <w:sz w:val="24"/>
          <w:szCs w:val="24"/>
        </w:rPr>
      </w:pPr>
      <w:r w:rsidRPr="009C31A7">
        <w:rPr>
          <w:rFonts w:eastAsia="Times New Roman" w:cstheme="minorHAnsi"/>
          <w:b/>
          <w:bCs/>
          <w:sz w:val="24"/>
          <w:szCs w:val="24"/>
        </w:rPr>
        <w:t>Eligibility Criteria</w:t>
      </w:r>
      <w:r w:rsidRPr="009C31A7">
        <w:rPr>
          <w:rFonts w:eastAsia="Times New Roman" w:cstheme="minorHAnsi"/>
          <w:sz w:val="24"/>
          <w:szCs w:val="24"/>
        </w:rPr>
        <w:t>: Each academic program will have clear eligibility criteria based on academic qualifications, language proficiency, and other relevant requirements. Criteria will be regularly reviewed and updated to reflect evolving standards.</w:t>
      </w:r>
    </w:p>
    <w:p w14:paraId="70A311DB" w14:textId="77777777" w:rsidR="007D7BC6" w:rsidRPr="009C31A7" w:rsidRDefault="007D7BC6" w:rsidP="009C31A7">
      <w:pPr>
        <w:numPr>
          <w:ilvl w:val="0"/>
          <w:numId w:val="2"/>
        </w:numPr>
        <w:spacing w:before="100" w:beforeAutospacing="1" w:after="100" w:afterAutospacing="1" w:line="240" w:lineRule="auto"/>
        <w:jc w:val="both"/>
        <w:rPr>
          <w:rFonts w:eastAsia="Times New Roman" w:cstheme="minorHAnsi"/>
          <w:sz w:val="24"/>
          <w:szCs w:val="24"/>
        </w:rPr>
      </w:pPr>
      <w:r w:rsidRPr="009C31A7">
        <w:rPr>
          <w:rFonts w:eastAsia="Times New Roman" w:cstheme="minorHAnsi"/>
          <w:b/>
          <w:bCs/>
          <w:sz w:val="24"/>
          <w:szCs w:val="24"/>
        </w:rPr>
        <w:t>Application Process</w:t>
      </w:r>
      <w:r w:rsidRPr="009C31A7">
        <w:rPr>
          <w:rFonts w:eastAsia="Times New Roman" w:cstheme="minorHAnsi"/>
          <w:sz w:val="24"/>
          <w:szCs w:val="24"/>
        </w:rPr>
        <w:t>: Prospective students will be provided with detailed information on application deadlines, documentation requirements, and selection procedures. Applications will be assessed consistently and objectively.</w:t>
      </w:r>
    </w:p>
    <w:p w14:paraId="3AF0E596" w14:textId="77777777" w:rsidR="007D7BC6" w:rsidRPr="009C31A7" w:rsidRDefault="007D7BC6" w:rsidP="009C31A7">
      <w:pPr>
        <w:numPr>
          <w:ilvl w:val="0"/>
          <w:numId w:val="2"/>
        </w:numPr>
        <w:spacing w:before="100" w:beforeAutospacing="1" w:after="100" w:afterAutospacing="1" w:line="240" w:lineRule="auto"/>
        <w:jc w:val="both"/>
        <w:rPr>
          <w:rFonts w:eastAsia="Times New Roman" w:cstheme="minorHAnsi"/>
          <w:sz w:val="24"/>
          <w:szCs w:val="24"/>
        </w:rPr>
      </w:pPr>
      <w:r w:rsidRPr="009C31A7">
        <w:rPr>
          <w:rFonts w:eastAsia="Times New Roman" w:cstheme="minorHAnsi"/>
          <w:b/>
          <w:bCs/>
          <w:sz w:val="24"/>
          <w:szCs w:val="24"/>
        </w:rPr>
        <w:t>Admission Decisions</w:t>
      </w:r>
      <w:r w:rsidRPr="009C31A7">
        <w:rPr>
          <w:rFonts w:eastAsia="Times New Roman" w:cstheme="minorHAnsi"/>
          <w:sz w:val="24"/>
          <w:szCs w:val="24"/>
        </w:rPr>
        <w:t>: Admission decisions will be made based on predefined criteria and documented processes to ensure transparency. The decision-making process will involve input from relevant academic staff and admissions committees.</w:t>
      </w:r>
    </w:p>
    <w:p w14:paraId="46A47C0A" w14:textId="77777777" w:rsidR="007D7BC6" w:rsidRPr="009C31A7" w:rsidRDefault="007D7BC6" w:rsidP="009C31A7">
      <w:pPr>
        <w:numPr>
          <w:ilvl w:val="0"/>
          <w:numId w:val="2"/>
        </w:numPr>
        <w:spacing w:before="100" w:beforeAutospacing="1" w:after="100" w:afterAutospacing="1" w:line="240" w:lineRule="auto"/>
        <w:jc w:val="both"/>
        <w:rPr>
          <w:rFonts w:eastAsia="Times New Roman" w:cstheme="minorHAnsi"/>
          <w:sz w:val="24"/>
          <w:szCs w:val="24"/>
        </w:rPr>
      </w:pPr>
      <w:r w:rsidRPr="009C31A7">
        <w:rPr>
          <w:rFonts w:eastAsia="Times New Roman" w:cstheme="minorHAnsi"/>
          <w:b/>
          <w:bCs/>
          <w:sz w:val="24"/>
          <w:szCs w:val="24"/>
        </w:rPr>
        <w:t>Appeals</w:t>
      </w:r>
      <w:r w:rsidRPr="009C31A7">
        <w:rPr>
          <w:rFonts w:eastAsia="Times New Roman" w:cstheme="minorHAnsi"/>
          <w:sz w:val="24"/>
          <w:szCs w:val="24"/>
        </w:rPr>
        <w:t>: Applicants may appeal admission decisions if they believe their application has been handled unfairly. Appeals will be considered promptly by an independent body within the institution.</w:t>
      </w:r>
    </w:p>
    <w:p w14:paraId="2F376F97" w14:textId="68D2195E" w:rsidR="007D7BC6" w:rsidRPr="009C31A7" w:rsidRDefault="007D7BC6" w:rsidP="007D7BC6">
      <w:pPr>
        <w:spacing w:after="0" w:line="240" w:lineRule="auto"/>
        <w:rPr>
          <w:rFonts w:eastAsia="Times New Roman" w:cstheme="minorHAnsi"/>
          <w:sz w:val="24"/>
          <w:szCs w:val="24"/>
        </w:rPr>
      </w:pPr>
    </w:p>
    <w:p w14:paraId="7CC0B32B" w14:textId="77777777" w:rsidR="007D7BC6" w:rsidRPr="009C31A7" w:rsidRDefault="007D7BC6" w:rsidP="009C31A7">
      <w:pPr>
        <w:pStyle w:val="Heading1"/>
        <w:rPr>
          <w:rFonts w:eastAsia="Times New Roman"/>
        </w:rPr>
      </w:pPr>
      <w:bookmarkStart w:id="4" w:name="_Toc180966380"/>
      <w:r w:rsidRPr="009C31A7">
        <w:rPr>
          <w:rFonts w:eastAsia="Times New Roman"/>
        </w:rPr>
        <w:t>3. Student Progression</w:t>
      </w:r>
      <w:bookmarkEnd w:id="4"/>
    </w:p>
    <w:p w14:paraId="07A6651F" w14:textId="77777777" w:rsidR="007D7BC6" w:rsidRPr="009C31A7" w:rsidRDefault="007D7BC6" w:rsidP="009C31A7">
      <w:pPr>
        <w:pStyle w:val="Heading2"/>
        <w:rPr>
          <w:rFonts w:eastAsia="Times New Roman"/>
        </w:rPr>
      </w:pPr>
      <w:bookmarkStart w:id="5" w:name="_Toc180966381"/>
      <w:r w:rsidRPr="009C31A7">
        <w:rPr>
          <w:rFonts w:eastAsia="Times New Roman"/>
        </w:rPr>
        <w:t>3.1. Principles</w:t>
      </w:r>
      <w:bookmarkEnd w:id="5"/>
    </w:p>
    <w:p w14:paraId="15820A57" w14:textId="77777777" w:rsidR="007D7BC6" w:rsidRPr="009C31A7" w:rsidRDefault="007D7BC6" w:rsidP="007D7BC6">
      <w:pPr>
        <w:numPr>
          <w:ilvl w:val="0"/>
          <w:numId w:val="3"/>
        </w:numPr>
        <w:spacing w:before="100" w:beforeAutospacing="1" w:after="100" w:afterAutospacing="1" w:line="240" w:lineRule="auto"/>
        <w:rPr>
          <w:rFonts w:eastAsia="Times New Roman" w:cstheme="minorHAnsi"/>
          <w:sz w:val="24"/>
          <w:szCs w:val="24"/>
        </w:rPr>
      </w:pPr>
      <w:r w:rsidRPr="009C31A7">
        <w:rPr>
          <w:rFonts w:eastAsia="Times New Roman" w:cstheme="minorHAnsi"/>
          <w:sz w:val="24"/>
          <w:szCs w:val="24"/>
        </w:rPr>
        <w:t>Progression through academic programs will be based on the achievement of clearly defined learning outcomes, ensuring students are sufficiently prepared for the next stages of their education.</w:t>
      </w:r>
    </w:p>
    <w:p w14:paraId="38D3684C" w14:textId="77777777" w:rsidR="007D7BC6" w:rsidRPr="009C31A7" w:rsidRDefault="007D7BC6" w:rsidP="009C31A7">
      <w:pPr>
        <w:pStyle w:val="Heading2"/>
        <w:rPr>
          <w:rFonts w:eastAsia="Times New Roman"/>
        </w:rPr>
      </w:pPr>
      <w:bookmarkStart w:id="6" w:name="_Toc180966382"/>
      <w:r w:rsidRPr="009C31A7">
        <w:rPr>
          <w:rFonts w:eastAsia="Times New Roman"/>
        </w:rPr>
        <w:lastRenderedPageBreak/>
        <w:t>3.2. Procedures</w:t>
      </w:r>
      <w:bookmarkEnd w:id="6"/>
    </w:p>
    <w:p w14:paraId="21550A65" w14:textId="77777777" w:rsidR="007D7BC6" w:rsidRPr="009C31A7" w:rsidRDefault="007D7BC6" w:rsidP="009C31A7">
      <w:pPr>
        <w:numPr>
          <w:ilvl w:val="0"/>
          <w:numId w:val="4"/>
        </w:numPr>
        <w:spacing w:before="100" w:beforeAutospacing="1" w:after="100" w:afterAutospacing="1" w:line="240" w:lineRule="auto"/>
        <w:jc w:val="both"/>
        <w:rPr>
          <w:rFonts w:eastAsia="Times New Roman" w:cstheme="minorHAnsi"/>
          <w:sz w:val="24"/>
          <w:szCs w:val="24"/>
        </w:rPr>
      </w:pPr>
      <w:r w:rsidRPr="009C31A7">
        <w:rPr>
          <w:rFonts w:eastAsia="Times New Roman" w:cstheme="minorHAnsi"/>
          <w:b/>
          <w:bCs/>
          <w:sz w:val="24"/>
          <w:szCs w:val="24"/>
        </w:rPr>
        <w:t>Monitoring of Academic Progress</w:t>
      </w:r>
      <w:r w:rsidRPr="009C31A7">
        <w:rPr>
          <w:rFonts w:eastAsia="Times New Roman" w:cstheme="minorHAnsi"/>
          <w:sz w:val="24"/>
          <w:szCs w:val="24"/>
        </w:rPr>
        <w:t>: The University will monitor students’ academic progress through continuous assessments, formal exams, and performance reviews. Support mechanisms will be in place for students who are identified as struggling.</w:t>
      </w:r>
    </w:p>
    <w:p w14:paraId="567C95EA" w14:textId="77777777" w:rsidR="007D7BC6" w:rsidRPr="009C31A7" w:rsidRDefault="007D7BC6" w:rsidP="009C31A7">
      <w:pPr>
        <w:numPr>
          <w:ilvl w:val="0"/>
          <w:numId w:val="4"/>
        </w:numPr>
        <w:spacing w:before="100" w:beforeAutospacing="1" w:after="100" w:afterAutospacing="1" w:line="240" w:lineRule="auto"/>
        <w:jc w:val="both"/>
        <w:rPr>
          <w:rFonts w:eastAsia="Times New Roman" w:cstheme="minorHAnsi"/>
          <w:sz w:val="24"/>
          <w:szCs w:val="24"/>
        </w:rPr>
      </w:pPr>
      <w:r w:rsidRPr="009C31A7">
        <w:rPr>
          <w:rFonts w:eastAsia="Times New Roman" w:cstheme="minorHAnsi"/>
          <w:b/>
          <w:bCs/>
          <w:sz w:val="24"/>
          <w:szCs w:val="24"/>
        </w:rPr>
        <w:t>Minimum Academic Standards</w:t>
      </w:r>
      <w:r w:rsidRPr="009C31A7">
        <w:rPr>
          <w:rFonts w:eastAsia="Times New Roman" w:cstheme="minorHAnsi"/>
          <w:sz w:val="24"/>
          <w:szCs w:val="24"/>
        </w:rPr>
        <w:t>: To progress from one level to the next, students must meet minimum performance standards, as defined by the program. These standards will be communicated at the start of each academic year.</w:t>
      </w:r>
    </w:p>
    <w:p w14:paraId="049007F4" w14:textId="77777777" w:rsidR="007D7BC6" w:rsidRPr="009C31A7" w:rsidRDefault="007D7BC6" w:rsidP="009C31A7">
      <w:pPr>
        <w:numPr>
          <w:ilvl w:val="0"/>
          <w:numId w:val="4"/>
        </w:numPr>
        <w:spacing w:before="100" w:beforeAutospacing="1" w:after="100" w:afterAutospacing="1" w:line="240" w:lineRule="auto"/>
        <w:jc w:val="both"/>
        <w:rPr>
          <w:rFonts w:eastAsia="Times New Roman" w:cstheme="minorHAnsi"/>
          <w:sz w:val="24"/>
          <w:szCs w:val="24"/>
          <w:highlight w:val="yellow"/>
        </w:rPr>
      </w:pPr>
      <w:r w:rsidRPr="009C31A7">
        <w:rPr>
          <w:rFonts w:eastAsia="Times New Roman" w:cstheme="minorHAnsi"/>
          <w:b/>
          <w:bCs/>
          <w:sz w:val="24"/>
          <w:szCs w:val="24"/>
          <w:highlight w:val="yellow"/>
        </w:rPr>
        <w:t>Academic Probation and Dismissal</w:t>
      </w:r>
      <w:r w:rsidRPr="009C31A7">
        <w:rPr>
          <w:rFonts w:eastAsia="Times New Roman" w:cstheme="minorHAnsi"/>
          <w:sz w:val="24"/>
          <w:szCs w:val="24"/>
          <w:highlight w:val="yellow"/>
        </w:rPr>
        <w:t>: Students who fail to meet progression standards may be placed on academic probation, during which they will receive support to improve their performance. Students who do not improve after probation may face dismissal, in accordance with established policies.</w:t>
      </w:r>
    </w:p>
    <w:p w14:paraId="248DDC3B" w14:textId="77777777" w:rsidR="007D7BC6" w:rsidRPr="009C31A7" w:rsidRDefault="007D7BC6" w:rsidP="009C31A7">
      <w:pPr>
        <w:numPr>
          <w:ilvl w:val="0"/>
          <w:numId w:val="4"/>
        </w:numPr>
        <w:spacing w:before="100" w:beforeAutospacing="1" w:after="100" w:afterAutospacing="1" w:line="240" w:lineRule="auto"/>
        <w:jc w:val="both"/>
        <w:rPr>
          <w:rFonts w:eastAsia="Times New Roman" w:cstheme="minorHAnsi"/>
          <w:sz w:val="24"/>
          <w:szCs w:val="24"/>
        </w:rPr>
      </w:pPr>
      <w:r w:rsidRPr="009C31A7">
        <w:rPr>
          <w:rFonts w:eastAsia="Times New Roman" w:cstheme="minorHAnsi"/>
          <w:b/>
          <w:bCs/>
          <w:sz w:val="24"/>
          <w:szCs w:val="24"/>
        </w:rPr>
        <w:t>Support and Guidance</w:t>
      </w:r>
      <w:r w:rsidRPr="009C31A7">
        <w:rPr>
          <w:rFonts w:eastAsia="Times New Roman" w:cstheme="minorHAnsi"/>
          <w:sz w:val="24"/>
          <w:szCs w:val="24"/>
        </w:rPr>
        <w:t>: Academic advisors and support services will be available to help students overcome challenges and progress through their studies in a timely manner.</w:t>
      </w:r>
    </w:p>
    <w:p w14:paraId="71468CF0" w14:textId="5F241E16" w:rsidR="007D7BC6" w:rsidRPr="009C31A7" w:rsidRDefault="007D7BC6" w:rsidP="007D7BC6">
      <w:pPr>
        <w:spacing w:after="0" w:line="240" w:lineRule="auto"/>
        <w:rPr>
          <w:rFonts w:eastAsia="Times New Roman" w:cstheme="minorHAnsi"/>
          <w:sz w:val="24"/>
          <w:szCs w:val="24"/>
        </w:rPr>
      </w:pPr>
    </w:p>
    <w:p w14:paraId="3A99B44C" w14:textId="77777777" w:rsidR="007D7BC6" w:rsidRPr="009C31A7" w:rsidRDefault="007D7BC6" w:rsidP="009C31A7">
      <w:pPr>
        <w:pStyle w:val="Heading1"/>
        <w:rPr>
          <w:rFonts w:eastAsia="Times New Roman"/>
        </w:rPr>
      </w:pPr>
      <w:bookmarkStart w:id="7" w:name="_Toc180966383"/>
      <w:r w:rsidRPr="009C31A7">
        <w:rPr>
          <w:rFonts w:eastAsia="Times New Roman"/>
        </w:rPr>
        <w:t>4. Recognition of Prior Learning (RPL)</w:t>
      </w:r>
      <w:bookmarkEnd w:id="7"/>
    </w:p>
    <w:p w14:paraId="35A68AAC" w14:textId="77777777" w:rsidR="007D7BC6" w:rsidRPr="009C31A7" w:rsidRDefault="007D7BC6" w:rsidP="009C31A7">
      <w:pPr>
        <w:pStyle w:val="Heading2"/>
        <w:rPr>
          <w:rFonts w:eastAsia="Times New Roman"/>
        </w:rPr>
      </w:pPr>
      <w:bookmarkStart w:id="8" w:name="_Toc180966384"/>
      <w:r w:rsidRPr="009C31A7">
        <w:rPr>
          <w:rFonts w:eastAsia="Times New Roman"/>
        </w:rPr>
        <w:t>4.1. Principles</w:t>
      </w:r>
      <w:bookmarkEnd w:id="8"/>
    </w:p>
    <w:p w14:paraId="5122B1C3" w14:textId="77777777" w:rsidR="007D7BC6" w:rsidRPr="009C31A7" w:rsidRDefault="007D7BC6" w:rsidP="009C31A7">
      <w:pPr>
        <w:numPr>
          <w:ilvl w:val="0"/>
          <w:numId w:val="5"/>
        </w:numPr>
        <w:spacing w:before="100" w:beforeAutospacing="1" w:after="100" w:afterAutospacing="1" w:line="240" w:lineRule="auto"/>
        <w:jc w:val="both"/>
        <w:rPr>
          <w:rFonts w:eastAsia="Times New Roman" w:cstheme="minorHAnsi"/>
          <w:sz w:val="24"/>
          <w:szCs w:val="24"/>
        </w:rPr>
      </w:pPr>
      <w:r w:rsidRPr="009C31A7">
        <w:rPr>
          <w:rFonts w:eastAsia="Times New Roman" w:cstheme="minorHAnsi"/>
          <w:sz w:val="24"/>
          <w:szCs w:val="24"/>
        </w:rPr>
        <w:t>The University values prior learning experiences and will recognize them where appropriate, enabling students to enter programs with advanced standing or exemption from certain modules.</w:t>
      </w:r>
    </w:p>
    <w:p w14:paraId="3B0A7868" w14:textId="77777777" w:rsidR="007D7BC6" w:rsidRPr="009C31A7" w:rsidRDefault="007D7BC6" w:rsidP="009C31A7">
      <w:pPr>
        <w:pStyle w:val="Heading2"/>
        <w:rPr>
          <w:rFonts w:eastAsia="Times New Roman"/>
        </w:rPr>
      </w:pPr>
      <w:bookmarkStart w:id="9" w:name="_Toc180966385"/>
      <w:r w:rsidRPr="009C31A7">
        <w:rPr>
          <w:rFonts w:eastAsia="Times New Roman"/>
        </w:rPr>
        <w:t>4.2. Procedures</w:t>
      </w:r>
      <w:bookmarkEnd w:id="9"/>
    </w:p>
    <w:p w14:paraId="1BB9FD35" w14:textId="77777777" w:rsidR="007D7BC6" w:rsidRPr="009C31A7" w:rsidRDefault="007D7BC6" w:rsidP="009C31A7">
      <w:pPr>
        <w:numPr>
          <w:ilvl w:val="0"/>
          <w:numId w:val="6"/>
        </w:numPr>
        <w:spacing w:before="100" w:beforeAutospacing="1" w:after="100" w:afterAutospacing="1" w:line="240" w:lineRule="auto"/>
        <w:jc w:val="both"/>
        <w:rPr>
          <w:rFonts w:eastAsia="Times New Roman" w:cstheme="minorHAnsi"/>
          <w:sz w:val="24"/>
          <w:szCs w:val="24"/>
        </w:rPr>
      </w:pPr>
      <w:r w:rsidRPr="009C31A7">
        <w:rPr>
          <w:rFonts w:eastAsia="Times New Roman" w:cstheme="minorHAnsi"/>
          <w:b/>
          <w:bCs/>
          <w:sz w:val="24"/>
          <w:szCs w:val="24"/>
        </w:rPr>
        <w:t>Eligibility for RPL</w:t>
      </w:r>
      <w:r w:rsidRPr="009C31A7">
        <w:rPr>
          <w:rFonts w:eastAsia="Times New Roman" w:cstheme="minorHAnsi"/>
          <w:sz w:val="24"/>
          <w:szCs w:val="24"/>
        </w:rPr>
        <w:t>: Students may apply for recognition of prior formal, informal, or experiential learning. The institution will assess the relevance and level of prior learning against the program’s learning outcomes.</w:t>
      </w:r>
    </w:p>
    <w:p w14:paraId="4933A269" w14:textId="77777777" w:rsidR="007D7BC6" w:rsidRPr="009C31A7" w:rsidRDefault="007D7BC6" w:rsidP="009C31A7">
      <w:pPr>
        <w:numPr>
          <w:ilvl w:val="0"/>
          <w:numId w:val="6"/>
        </w:numPr>
        <w:spacing w:before="100" w:beforeAutospacing="1" w:after="100" w:afterAutospacing="1" w:line="240" w:lineRule="auto"/>
        <w:jc w:val="both"/>
        <w:rPr>
          <w:rFonts w:eastAsia="Times New Roman" w:cstheme="minorHAnsi"/>
          <w:sz w:val="24"/>
          <w:szCs w:val="24"/>
        </w:rPr>
      </w:pPr>
      <w:r w:rsidRPr="009C31A7">
        <w:rPr>
          <w:rFonts w:eastAsia="Times New Roman" w:cstheme="minorHAnsi"/>
          <w:b/>
          <w:bCs/>
          <w:sz w:val="24"/>
          <w:szCs w:val="24"/>
        </w:rPr>
        <w:t>Assessment of RPL</w:t>
      </w:r>
      <w:r w:rsidRPr="009C31A7">
        <w:rPr>
          <w:rFonts w:eastAsia="Times New Roman" w:cstheme="minorHAnsi"/>
          <w:sz w:val="24"/>
          <w:szCs w:val="24"/>
        </w:rPr>
        <w:t>: Applications for RPL will be evaluated by academic staff with expertise in the relevant subject areas. Decisions will be based on evidence provided, such as transcripts, certificates, portfolios, or work experience.</w:t>
      </w:r>
    </w:p>
    <w:p w14:paraId="5CEA6CE9" w14:textId="77777777" w:rsidR="007D7BC6" w:rsidRPr="009C31A7" w:rsidRDefault="007D7BC6" w:rsidP="009C31A7">
      <w:pPr>
        <w:numPr>
          <w:ilvl w:val="0"/>
          <w:numId w:val="6"/>
        </w:numPr>
        <w:spacing w:before="100" w:beforeAutospacing="1" w:after="100" w:afterAutospacing="1" w:line="240" w:lineRule="auto"/>
        <w:jc w:val="both"/>
        <w:rPr>
          <w:rFonts w:eastAsia="Times New Roman" w:cstheme="minorHAnsi"/>
          <w:sz w:val="24"/>
          <w:szCs w:val="24"/>
        </w:rPr>
      </w:pPr>
      <w:r w:rsidRPr="009C31A7">
        <w:rPr>
          <w:rFonts w:eastAsia="Times New Roman" w:cstheme="minorHAnsi"/>
          <w:b/>
          <w:bCs/>
          <w:sz w:val="24"/>
          <w:szCs w:val="24"/>
        </w:rPr>
        <w:t>Maximum Credit Transfer</w:t>
      </w:r>
      <w:r w:rsidRPr="009C31A7">
        <w:rPr>
          <w:rFonts w:eastAsia="Times New Roman" w:cstheme="minorHAnsi"/>
          <w:sz w:val="24"/>
          <w:szCs w:val="24"/>
        </w:rPr>
        <w:t>: The University will establish limits on the number of credits that can be transferred or exempted through RPL, ensuring students still meet the core learning outcomes of the program.</w:t>
      </w:r>
    </w:p>
    <w:p w14:paraId="28610D86" w14:textId="77777777" w:rsidR="007D7BC6" w:rsidRPr="009C31A7" w:rsidRDefault="007D7BC6" w:rsidP="009C31A7">
      <w:pPr>
        <w:numPr>
          <w:ilvl w:val="0"/>
          <w:numId w:val="6"/>
        </w:numPr>
        <w:spacing w:before="100" w:beforeAutospacing="1" w:after="100" w:afterAutospacing="1" w:line="240" w:lineRule="auto"/>
        <w:jc w:val="both"/>
        <w:rPr>
          <w:rFonts w:eastAsia="Times New Roman" w:cstheme="minorHAnsi"/>
          <w:sz w:val="24"/>
          <w:szCs w:val="24"/>
        </w:rPr>
      </w:pPr>
      <w:r w:rsidRPr="009C31A7">
        <w:rPr>
          <w:rFonts w:eastAsia="Times New Roman" w:cstheme="minorHAnsi"/>
          <w:b/>
          <w:bCs/>
          <w:sz w:val="24"/>
          <w:szCs w:val="24"/>
        </w:rPr>
        <w:t>Documentation and Appeals</w:t>
      </w:r>
      <w:r w:rsidRPr="009C31A7">
        <w:rPr>
          <w:rFonts w:eastAsia="Times New Roman" w:cstheme="minorHAnsi"/>
          <w:sz w:val="24"/>
          <w:szCs w:val="24"/>
        </w:rPr>
        <w:t>: All RPL decisions will be documented, and students may appeal decisions if they believe their prior learning has not been appropriately recognized.</w:t>
      </w:r>
    </w:p>
    <w:p w14:paraId="2E509038" w14:textId="7E5874B3" w:rsidR="007D7BC6" w:rsidRPr="009C31A7" w:rsidRDefault="007D7BC6" w:rsidP="007D7BC6">
      <w:pPr>
        <w:spacing w:after="0" w:line="240" w:lineRule="auto"/>
        <w:rPr>
          <w:rFonts w:eastAsia="Times New Roman" w:cstheme="minorHAnsi"/>
          <w:sz w:val="24"/>
          <w:szCs w:val="24"/>
        </w:rPr>
      </w:pPr>
    </w:p>
    <w:p w14:paraId="63B97335" w14:textId="77777777" w:rsidR="007D7BC6" w:rsidRPr="009C31A7" w:rsidRDefault="007D7BC6" w:rsidP="009C31A7">
      <w:pPr>
        <w:pStyle w:val="Heading1"/>
        <w:rPr>
          <w:rFonts w:eastAsia="Times New Roman"/>
        </w:rPr>
      </w:pPr>
      <w:bookmarkStart w:id="10" w:name="_Toc180966386"/>
      <w:r w:rsidRPr="009C31A7">
        <w:rPr>
          <w:rFonts w:eastAsia="Times New Roman"/>
        </w:rPr>
        <w:lastRenderedPageBreak/>
        <w:t>5. Certification</w:t>
      </w:r>
      <w:bookmarkEnd w:id="10"/>
    </w:p>
    <w:p w14:paraId="5C85A14D" w14:textId="77777777" w:rsidR="007D7BC6" w:rsidRPr="009C31A7" w:rsidRDefault="007D7BC6" w:rsidP="009C31A7">
      <w:pPr>
        <w:pStyle w:val="Heading2"/>
        <w:rPr>
          <w:rFonts w:eastAsia="Times New Roman"/>
        </w:rPr>
      </w:pPr>
      <w:bookmarkStart w:id="11" w:name="_Toc180966387"/>
      <w:r w:rsidRPr="009C31A7">
        <w:rPr>
          <w:rFonts w:eastAsia="Times New Roman"/>
        </w:rPr>
        <w:t>5.1. Principles</w:t>
      </w:r>
      <w:bookmarkEnd w:id="11"/>
    </w:p>
    <w:p w14:paraId="0D89FA24" w14:textId="77777777" w:rsidR="007D7BC6" w:rsidRPr="009C31A7" w:rsidRDefault="007D7BC6" w:rsidP="007D7BC6">
      <w:pPr>
        <w:numPr>
          <w:ilvl w:val="0"/>
          <w:numId w:val="7"/>
        </w:numPr>
        <w:spacing w:before="100" w:beforeAutospacing="1" w:after="100" w:afterAutospacing="1" w:line="240" w:lineRule="auto"/>
        <w:rPr>
          <w:rFonts w:eastAsia="Times New Roman" w:cstheme="minorHAnsi"/>
          <w:sz w:val="24"/>
          <w:szCs w:val="24"/>
        </w:rPr>
      </w:pPr>
      <w:r w:rsidRPr="009C31A7">
        <w:rPr>
          <w:rFonts w:eastAsia="Times New Roman" w:cstheme="minorHAnsi"/>
          <w:sz w:val="24"/>
          <w:szCs w:val="24"/>
        </w:rPr>
        <w:t>The certification process will ensure that students receive recognition for their academic achievements in line with the standards of the University and any relevant accrediting bodies.</w:t>
      </w:r>
    </w:p>
    <w:p w14:paraId="014DF187" w14:textId="77777777" w:rsidR="007D7BC6" w:rsidRPr="009C31A7" w:rsidRDefault="007D7BC6" w:rsidP="009C31A7">
      <w:pPr>
        <w:pStyle w:val="Heading2"/>
        <w:rPr>
          <w:rFonts w:eastAsia="Times New Roman"/>
        </w:rPr>
      </w:pPr>
      <w:bookmarkStart w:id="12" w:name="_Toc180966388"/>
      <w:r w:rsidRPr="009C31A7">
        <w:rPr>
          <w:rFonts w:eastAsia="Times New Roman"/>
        </w:rPr>
        <w:t>5.2. Procedures</w:t>
      </w:r>
      <w:bookmarkEnd w:id="12"/>
    </w:p>
    <w:p w14:paraId="26376F3B" w14:textId="77777777" w:rsidR="007D7BC6" w:rsidRPr="009C31A7" w:rsidRDefault="007D7BC6" w:rsidP="007D7BC6">
      <w:pPr>
        <w:numPr>
          <w:ilvl w:val="0"/>
          <w:numId w:val="8"/>
        </w:numPr>
        <w:spacing w:before="100" w:beforeAutospacing="1" w:after="100" w:afterAutospacing="1" w:line="240" w:lineRule="auto"/>
        <w:rPr>
          <w:rFonts w:eastAsia="Times New Roman" w:cstheme="minorHAnsi"/>
          <w:sz w:val="24"/>
          <w:szCs w:val="24"/>
        </w:rPr>
      </w:pPr>
      <w:r w:rsidRPr="009C31A7">
        <w:rPr>
          <w:rFonts w:eastAsia="Times New Roman" w:cstheme="minorHAnsi"/>
          <w:b/>
          <w:bCs/>
          <w:sz w:val="24"/>
          <w:szCs w:val="24"/>
        </w:rPr>
        <w:t>Certification Criteria</w:t>
      </w:r>
      <w:r w:rsidRPr="009C31A7">
        <w:rPr>
          <w:rFonts w:eastAsia="Times New Roman" w:cstheme="minorHAnsi"/>
          <w:sz w:val="24"/>
          <w:szCs w:val="24"/>
        </w:rPr>
        <w:t>: To be awarded a degree, diploma, or certificate, students must fulfill all academic requirements, including successful completion of required modules, assessments, and any other program-specific requirements.</w:t>
      </w:r>
    </w:p>
    <w:p w14:paraId="37B30433" w14:textId="77777777" w:rsidR="007D7BC6" w:rsidRPr="009C31A7" w:rsidRDefault="007D7BC6" w:rsidP="007D7BC6">
      <w:pPr>
        <w:numPr>
          <w:ilvl w:val="0"/>
          <w:numId w:val="8"/>
        </w:numPr>
        <w:spacing w:before="100" w:beforeAutospacing="1" w:after="100" w:afterAutospacing="1" w:line="240" w:lineRule="auto"/>
        <w:rPr>
          <w:rFonts w:eastAsia="Times New Roman" w:cstheme="minorHAnsi"/>
          <w:sz w:val="24"/>
          <w:szCs w:val="24"/>
        </w:rPr>
      </w:pPr>
      <w:r w:rsidRPr="009C31A7">
        <w:rPr>
          <w:rFonts w:eastAsia="Times New Roman" w:cstheme="minorHAnsi"/>
          <w:b/>
          <w:bCs/>
          <w:sz w:val="24"/>
          <w:szCs w:val="24"/>
        </w:rPr>
        <w:t>Issuance of Certificates</w:t>
      </w:r>
      <w:r w:rsidRPr="009C31A7">
        <w:rPr>
          <w:rFonts w:eastAsia="Times New Roman" w:cstheme="minorHAnsi"/>
          <w:sz w:val="24"/>
          <w:szCs w:val="24"/>
        </w:rPr>
        <w:t>: Degrees and certificates will be issued promptly following the confirmation of graduation. The documents will include relevant details, such as the program completed, the level of the award, and any honors or distinctions achieved.</w:t>
      </w:r>
    </w:p>
    <w:p w14:paraId="69B4EEBB" w14:textId="77777777" w:rsidR="007D7BC6" w:rsidRPr="009C31A7" w:rsidRDefault="007D7BC6" w:rsidP="007D7BC6">
      <w:pPr>
        <w:numPr>
          <w:ilvl w:val="0"/>
          <w:numId w:val="8"/>
        </w:numPr>
        <w:spacing w:before="100" w:beforeAutospacing="1" w:after="100" w:afterAutospacing="1" w:line="240" w:lineRule="auto"/>
        <w:rPr>
          <w:rFonts w:eastAsia="Times New Roman" w:cstheme="minorHAnsi"/>
          <w:sz w:val="24"/>
          <w:szCs w:val="24"/>
        </w:rPr>
      </w:pPr>
      <w:r w:rsidRPr="009C31A7">
        <w:rPr>
          <w:rFonts w:eastAsia="Times New Roman" w:cstheme="minorHAnsi"/>
          <w:b/>
          <w:bCs/>
          <w:sz w:val="24"/>
          <w:szCs w:val="24"/>
        </w:rPr>
        <w:t>Record Keeping</w:t>
      </w:r>
      <w:r w:rsidRPr="009C31A7">
        <w:rPr>
          <w:rFonts w:eastAsia="Times New Roman" w:cstheme="minorHAnsi"/>
          <w:sz w:val="24"/>
          <w:szCs w:val="24"/>
        </w:rPr>
        <w:t>: The University will maintain accurate and secure records of all student qualifications awarded, ensuring that transcripts and certificates can be verified and reissued if necessary.</w:t>
      </w:r>
    </w:p>
    <w:p w14:paraId="5D376821" w14:textId="77777777" w:rsidR="007D7BC6" w:rsidRPr="009C31A7" w:rsidRDefault="007D7BC6" w:rsidP="007D7BC6">
      <w:pPr>
        <w:numPr>
          <w:ilvl w:val="0"/>
          <w:numId w:val="8"/>
        </w:numPr>
        <w:spacing w:before="100" w:beforeAutospacing="1" w:after="100" w:afterAutospacing="1" w:line="240" w:lineRule="auto"/>
        <w:rPr>
          <w:rFonts w:eastAsia="Times New Roman" w:cstheme="minorHAnsi"/>
          <w:sz w:val="24"/>
          <w:szCs w:val="24"/>
        </w:rPr>
      </w:pPr>
      <w:r w:rsidRPr="009C31A7">
        <w:rPr>
          <w:rFonts w:eastAsia="Times New Roman" w:cstheme="minorHAnsi"/>
          <w:b/>
          <w:bCs/>
          <w:sz w:val="24"/>
          <w:szCs w:val="24"/>
        </w:rPr>
        <w:t>Revocation of Certificates</w:t>
      </w:r>
      <w:r w:rsidRPr="009C31A7">
        <w:rPr>
          <w:rFonts w:eastAsia="Times New Roman" w:cstheme="minorHAnsi"/>
          <w:sz w:val="24"/>
          <w:szCs w:val="24"/>
        </w:rPr>
        <w:t>: In cases where it is discovered that a degree or certificate was awarded on the basis of fraudulent information or academic malpractice, the University reserves the right to revoke the qualification. This will be done in accordance with due process and legal requirements.</w:t>
      </w:r>
    </w:p>
    <w:p w14:paraId="31A29EEB" w14:textId="686D15E2" w:rsidR="007D7BC6" w:rsidRPr="009C31A7" w:rsidRDefault="007D7BC6" w:rsidP="007D7BC6">
      <w:pPr>
        <w:spacing w:after="0" w:line="240" w:lineRule="auto"/>
        <w:rPr>
          <w:rFonts w:eastAsia="Times New Roman" w:cstheme="minorHAnsi"/>
          <w:sz w:val="24"/>
          <w:szCs w:val="24"/>
        </w:rPr>
      </w:pPr>
    </w:p>
    <w:p w14:paraId="46B76A8C" w14:textId="77777777" w:rsidR="007D7BC6" w:rsidRPr="009C31A7" w:rsidRDefault="007D7BC6" w:rsidP="009C31A7">
      <w:pPr>
        <w:pStyle w:val="Heading1"/>
        <w:rPr>
          <w:rFonts w:eastAsia="Times New Roman"/>
        </w:rPr>
      </w:pPr>
      <w:bookmarkStart w:id="13" w:name="_Toc180966389"/>
      <w:r w:rsidRPr="009C31A7">
        <w:rPr>
          <w:rFonts w:eastAsia="Times New Roman"/>
        </w:rPr>
        <w:t>6. Student Malpractice</w:t>
      </w:r>
      <w:bookmarkEnd w:id="13"/>
    </w:p>
    <w:p w14:paraId="057F5A26" w14:textId="77777777" w:rsidR="007D7BC6" w:rsidRPr="009C31A7" w:rsidRDefault="007D7BC6" w:rsidP="009C31A7">
      <w:pPr>
        <w:pStyle w:val="Heading2"/>
        <w:rPr>
          <w:rFonts w:eastAsia="Times New Roman"/>
        </w:rPr>
      </w:pPr>
      <w:bookmarkStart w:id="14" w:name="_Toc180966390"/>
      <w:r w:rsidRPr="009C31A7">
        <w:rPr>
          <w:rFonts w:eastAsia="Times New Roman"/>
        </w:rPr>
        <w:t>6.1. Principles</w:t>
      </w:r>
      <w:bookmarkEnd w:id="14"/>
    </w:p>
    <w:p w14:paraId="01B21CC1" w14:textId="77777777" w:rsidR="007D7BC6" w:rsidRPr="009C31A7" w:rsidRDefault="007D7BC6" w:rsidP="009C31A7">
      <w:pPr>
        <w:numPr>
          <w:ilvl w:val="0"/>
          <w:numId w:val="9"/>
        </w:numPr>
        <w:spacing w:before="100" w:beforeAutospacing="1" w:after="100" w:afterAutospacing="1" w:line="240" w:lineRule="auto"/>
        <w:jc w:val="both"/>
        <w:rPr>
          <w:rFonts w:eastAsia="Times New Roman" w:cstheme="minorHAnsi"/>
          <w:sz w:val="24"/>
          <w:szCs w:val="24"/>
        </w:rPr>
      </w:pPr>
      <w:r w:rsidRPr="009C31A7">
        <w:rPr>
          <w:rFonts w:eastAsia="Times New Roman" w:cstheme="minorHAnsi"/>
          <w:sz w:val="24"/>
          <w:szCs w:val="24"/>
        </w:rPr>
        <w:t>Academic integrity is fundamental to the University’s mission. Any form of academic malpractice, including plagiarism, cheating, collusion, or falsification of data, will be addressed rigorously.</w:t>
      </w:r>
    </w:p>
    <w:p w14:paraId="2905CD64" w14:textId="77777777" w:rsidR="007D7BC6" w:rsidRPr="009C31A7" w:rsidRDefault="007D7BC6" w:rsidP="009C31A7">
      <w:pPr>
        <w:pStyle w:val="Heading2"/>
        <w:rPr>
          <w:rFonts w:eastAsia="Times New Roman"/>
        </w:rPr>
      </w:pPr>
      <w:bookmarkStart w:id="15" w:name="_Toc180966391"/>
      <w:r w:rsidRPr="009C31A7">
        <w:rPr>
          <w:rFonts w:eastAsia="Times New Roman"/>
        </w:rPr>
        <w:t>6.2. Procedures</w:t>
      </w:r>
      <w:bookmarkEnd w:id="15"/>
    </w:p>
    <w:p w14:paraId="5EA52E6D" w14:textId="77777777" w:rsidR="007D7BC6" w:rsidRPr="009C31A7" w:rsidRDefault="007D7BC6" w:rsidP="009C31A7">
      <w:pPr>
        <w:numPr>
          <w:ilvl w:val="0"/>
          <w:numId w:val="10"/>
        </w:numPr>
        <w:spacing w:before="100" w:beforeAutospacing="1" w:after="100" w:afterAutospacing="1" w:line="240" w:lineRule="auto"/>
        <w:jc w:val="both"/>
        <w:rPr>
          <w:rFonts w:eastAsia="Times New Roman" w:cstheme="minorHAnsi"/>
          <w:sz w:val="24"/>
          <w:szCs w:val="24"/>
        </w:rPr>
      </w:pPr>
      <w:r w:rsidRPr="009C31A7">
        <w:rPr>
          <w:rFonts w:eastAsia="Times New Roman" w:cstheme="minorHAnsi"/>
          <w:b/>
          <w:bCs/>
          <w:sz w:val="24"/>
          <w:szCs w:val="24"/>
        </w:rPr>
        <w:t>Definition of Malpractice</w:t>
      </w:r>
      <w:r w:rsidRPr="009C31A7">
        <w:rPr>
          <w:rFonts w:eastAsia="Times New Roman" w:cstheme="minorHAnsi"/>
          <w:sz w:val="24"/>
          <w:szCs w:val="24"/>
        </w:rPr>
        <w:t>: Academic malpractice includes cheating in exams, plagiarism, collusion, falsification of data, unauthorized assistance, and any behavior that compromises academic integrity.</w:t>
      </w:r>
    </w:p>
    <w:p w14:paraId="01F2E5D1" w14:textId="77777777" w:rsidR="007D7BC6" w:rsidRPr="009C31A7" w:rsidRDefault="007D7BC6" w:rsidP="009C31A7">
      <w:pPr>
        <w:numPr>
          <w:ilvl w:val="0"/>
          <w:numId w:val="10"/>
        </w:numPr>
        <w:spacing w:before="100" w:beforeAutospacing="1" w:after="100" w:afterAutospacing="1" w:line="240" w:lineRule="auto"/>
        <w:jc w:val="both"/>
        <w:rPr>
          <w:rFonts w:eastAsia="Times New Roman" w:cstheme="minorHAnsi"/>
          <w:sz w:val="24"/>
          <w:szCs w:val="24"/>
        </w:rPr>
      </w:pPr>
      <w:r w:rsidRPr="009C31A7">
        <w:rPr>
          <w:rFonts w:eastAsia="Times New Roman" w:cstheme="minorHAnsi"/>
          <w:b/>
          <w:bCs/>
          <w:sz w:val="24"/>
          <w:szCs w:val="24"/>
        </w:rPr>
        <w:t>Prevention</w:t>
      </w:r>
      <w:r w:rsidRPr="009C31A7">
        <w:rPr>
          <w:rFonts w:eastAsia="Times New Roman" w:cstheme="minorHAnsi"/>
          <w:sz w:val="24"/>
          <w:szCs w:val="24"/>
        </w:rPr>
        <w:t>: The University will take proactive steps to educate students about academic integrity, including workshops, guidelines, and tools like plagiarism detection software.</w:t>
      </w:r>
    </w:p>
    <w:p w14:paraId="5E672AB6" w14:textId="77777777" w:rsidR="007D7BC6" w:rsidRPr="009C31A7" w:rsidRDefault="007D7BC6" w:rsidP="009C31A7">
      <w:pPr>
        <w:numPr>
          <w:ilvl w:val="0"/>
          <w:numId w:val="10"/>
        </w:numPr>
        <w:spacing w:before="100" w:beforeAutospacing="1" w:after="100" w:afterAutospacing="1" w:line="240" w:lineRule="auto"/>
        <w:jc w:val="both"/>
        <w:rPr>
          <w:rFonts w:eastAsia="Times New Roman" w:cstheme="minorHAnsi"/>
          <w:sz w:val="24"/>
          <w:szCs w:val="24"/>
        </w:rPr>
      </w:pPr>
      <w:r w:rsidRPr="009C31A7">
        <w:rPr>
          <w:rFonts w:eastAsia="Times New Roman" w:cstheme="minorHAnsi"/>
          <w:b/>
          <w:bCs/>
          <w:sz w:val="24"/>
          <w:szCs w:val="24"/>
        </w:rPr>
        <w:t>Detection and Investigation</w:t>
      </w:r>
      <w:r w:rsidRPr="009C31A7">
        <w:rPr>
          <w:rFonts w:eastAsia="Times New Roman" w:cstheme="minorHAnsi"/>
          <w:sz w:val="24"/>
          <w:szCs w:val="24"/>
        </w:rPr>
        <w:t>: Suspected cases of malpractice will be investigated through a fair and transparent process. Students will have the opportunity to present their case before a decision is made.</w:t>
      </w:r>
    </w:p>
    <w:p w14:paraId="36DE7345" w14:textId="77777777" w:rsidR="007D7BC6" w:rsidRPr="009C31A7" w:rsidRDefault="007D7BC6" w:rsidP="009C31A7">
      <w:pPr>
        <w:numPr>
          <w:ilvl w:val="0"/>
          <w:numId w:val="10"/>
        </w:numPr>
        <w:spacing w:before="100" w:beforeAutospacing="1" w:after="100" w:afterAutospacing="1" w:line="240" w:lineRule="auto"/>
        <w:jc w:val="both"/>
        <w:rPr>
          <w:rFonts w:eastAsia="Times New Roman" w:cstheme="minorHAnsi"/>
          <w:sz w:val="24"/>
          <w:szCs w:val="24"/>
        </w:rPr>
      </w:pPr>
      <w:r w:rsidRPr="009C31A7">
        <w:rPr>
          <w:rFonts w:eastAsia="Times New Roman" w:cstheme="minorHAnsi"/>
          <w:b/>
          <w:bCs/>
          <w:sz w:val="24"/>
          <w:szCs w:val="24"/>
        </w:rPr>
        <w:lastRenderedPageBreak/>
        <w:t>Penalties</w:t>
      </w:r>
      <w:r w:rsidRPr="009C31A7">
        <w:rPr>
          <w:rFonts w:eastAsia="Times New Roman" w:cstheme="minorHAnsi"/>
          <w:sz w:val="24"/>
          <w:szCs w:val="24"/>
        </w:rPr>
        <w:t>: Sanctions for academic malpractice will vary depending on the severity of the offense and may include a warning, reduction of marks, failure of the assessment or course, suspension, or expulsion from the University.</w:t>
      </w:r>
    </w:p>
    <w:p w14:paraId="0EF8DECF" w14:textId="77777777" w:rsidR="007D7BC6" w:rsidRPr="009C31A7" w:rsidRDefault="007D7BC6" w:rsidP="009C31A7">
      <w:pPr>
        <w:numPr>
          <w:ilvl w:val="0"/>
          <w:numId w:val="10"/>
        </w:numPr>
        <w:spacing w:before="100" w:beforeAutospacing="1" w:after="100" w:afterAutospacing="1" w:line="240" w:lineRule="auto"/>
        <w:jc w:val="both"/>
        <w:rPr>
          <w:rFonts w:eastAsia="Times New Roman" w:cstheme="minorHAnsi"/>
          <w:sz w:val="24"/>
          <w:szCs w:val="24"/>
        </w:rPr>
      </w:pPr>
      <w:r w:rsidRPr="009C31A7">
        <w:rPr>
          <w:rFonts w:eastAsia="Times New Roman" w:cstheme="minorHAnsi"/>
          <w:b/>
          <w:bCs/>
          <w:sz w:val="24"/>
          <w:szCs w:val="24"/>
        </w:rPr>
        <w:t>Appeals Process</w:t>
      </w:r>
      <w:r w:rsidRPr="009C31A7">
        <w:rPr>
          <w:rFonts w:eastAsia="Times New Roman" w:cstheme="minorHAnsi"/>
          <w:sz w:val="24"/>
          <w:szCs w:val="24"/>
        </w:rPr>
        <w:t>: Students may appeal malpractice decisions within a specified timeframe. Appeals will be reviewed by an independent committee to ensure fairness.</w:t>
      </w:r>
    </w:p>
    <w:p w14:paraId="7C885C46" w14:textId="1ED5778F" w:rsidR="007D7BC6" w:rsidRPr="009C31A7" w:rsidRDefault="007D7BC6" w:rsidP="007D7BC6">
      <w:pPr>
        <w:spacing w:after="0" w:line="240" w:lineRule="auto"/>
        <w:rPr>
          <w:rFonts w:eastAsia="Times New Roman" w:cstheme="minorHAnsi"/>
          <w:sz w:val="24"/>
          <w:szCs w:val="24"/>
        </w:rPr>
      </w:pPr>
    </w:p>
    <w:p w14:paraId="1648E8A9" w14:textId="77777777" w:rsidR="007D7BC6" w:rsidRPr="009C31A7" w:rsidRDefault="007D7BC6" w:rsidP="009C31A7">
      <w:pPr>
        <w:pStyle w:val="Heading1"/>
        <w:rPr>
          <w:rFonts w:eastAsia="Times New Roman"/>
        </w:rPr>
      </w:pPr>
      <w:bookmarkStart w:id="16" w:name="_Toc180966392"/>
      <w:r w:rsidRPr="009C31A7">
        <w:rPr>
          <w:rFonts w:eastAsia="Times New Roman"/>
        </w:rPr>
        <w:t>7. Policy Review and Updates</w:t>
      </w:r>
      <w:bookmarkEnd w:id="16"/>
    </w:p>
    <w:p w14:paraId="06125F5C" w14:textId="77777777" w:rsidR="007D7BC6" w:rsidRPr="009C31A7" w:rsidRDefault="007D7BC6" w:rsidP="009C31A7">
      <w:pPr>
        <w:spacing w:before="100" w:beforeAutospacing="1" w:after="100" w:afterAutospacing="1" w:line="240" w:lineRule="auto"/>
        <w:jc w:val="both"/>
        <w:rPr>
          <w:rFonts w:eastAsia="Times New Roman" w:cstheme="minorHAnsi"/>
          <w:sz w:val="24"/>
          <w:szCs w:val="24"/>
        </w:rPr>
      </w:pPr>
      <w:r w:rsidRPr="009C31A7">
        <w:rPr>
          <w:rFonts w:eastAsia="Times New Roman" w:cstheme="minorHAnsi"/>
          <w:sz w:val="24"/>
          <w:szCs w:val="24"/>
        </w:rPr>
        <w:t>This policy will be reviewed regularly to ensure alignment with best practices in higher education and compliance with regulatory requirements. Feedback from stakeholders, including students, faculty, and external bodies, will be considered in the review process.</w:t>
      </w:r>
    </w:p>
    <w:p w14:paraId="09E0F63C" w14:textId="3BED6F59" w:rsidR="007D7BC6" w:rsidRPr="009C31A7" w:rsidRDefault="007D7BC6" w:rsidP="007D7BC6">
      <w:pPr>
        <w:spacing w:after="0" w:line="240" w:lineRule="auto"/>
        <w:rPr>
          <w:rFonts w:eastAsia="Times New Roman" w:cstheme="minorHAnsi"/>
          <w:sz w:val="24"/>
          <w:szCs w:val="24"/>
        </w:rPr>
      </w:pPr>
    </w:p>
    <w:p w14:paraId="16531CEA" w14:textId="77777777" w:rsidR="007D7BC6" w:rsidRPr="009C31A7" w:rsidRDefault="007D7BC6" w:rsidP="009C31A7">
      <w:pPr>
        <w:pStyle w:val="Heading1"/>
        <w:rPr>
          <w:rFonts w:eastAsia="Times New Roman"/>
        </w:rPr>
      </w:pPr>
      <w:bookmarkStart w:id="17" w:name="_Toc180966393"/>
      <w:r w:rsidRPr="009C31A7">
        <w:rPr>
          <w:rFonts w:eastAsia="Times New Roman"/>
        </w:rPr>
        <w:t>8. Responsibilities</w:t>
      </w:r>
      <w:bookmarkEnd w:id="17"/>
    </w:p>
    <w:p w14:paraId="0D88EA91" w14:textId="77777777" w:rsidR="007D7BC6" w:rsidRPr="009C31A7" w:rsidRDefault="007D7BC6" w:rsidP="009C31A7">
      <w:pPr>
        <w:numPr>
          <w:ilvl w:val="0"/>
          <w:numId w:val="11"/>
        </w:numPr>
        <w:spacing w:before="100" w:beforeAutospacing="1" w:after="100" w:afterAutospacing="1" w:line="240" w:lineRule="auto"/>
        <w:jc w:val="both"/>
        <w:rPr>
          <w:rFonts w:eastAsia="Times New Roman" w:cstheme="minorHAnsi"/>
          <w:sz w:val="24"/>
          <w:szCs w:val="24"/>
        </w:rPr>
      </w:pPr>
      <w:r w:rsidRPr="009C31A7">
        <w:rPr>
          <w:rFonts w:eastAsia="Times New Roman" w:cstheme="minorHAnsi"/>
          <w:b/>
          <w:bCs/>
          <w:sz w:val="24"/>
          <w:szCs w:val="24"/>
        </w:rPr>
        <w:t>Academic Staff</w:t>
      </w:r>
      <w:r w:rsidRPr="009C31A7">
        <w:rPr>
          <w:rFonts w:eastAsia="Times New Roman" w:cstheme="minorHAnsi"/>
          <w:sz w:val="24"/>
          <w:szCs w:val="24"/>
        </w:rPr>
        <w:t>: Ensure adherence to admission, assessment, and progression policies, and maintain high standards of academic integrity.</w:t>
      </w:r>
    </w:p>
    <w:p w14:paraId="589B80EF" w14:textId="77777777" w:rsidR="007D7BC6" w:rsidRPr="009C31A7" w:rsidRDefault="007D7BC6" w:rsidP="009C31A7">
      <w:pPr>
        <w:numPr>
          <w:ilvl w:val="0"/>
          <w:numId w:val="11"/>
        </w:numPr>
        <w:spacing w:before="100" w:beforeAutospacing="1" w:after="100" w:afterAutospacing="1" w:line="240" w:lineRule="auto"/>
        <w:jc w:val="both"/>
        <w:rPr>
          <w:rFonts w:eastAsia="Times New Roman" w:cstheme="minorHAnsi"/>
          <w:sz w:val="24"/>
          <w:szCs w:val="24"/>
        </w:rPr>
      </w:pPr>
      <w:r w:rsidRPr="009C31A7">
        <w:rPr>
          <w:rFonts w:eastAsia="Times New Roman" w:cstheme="minorHAnsi"/>
          <w:b/>
          <w:bCs/>
          <w:sz w:val="24"/>
          <w:szCs w:val="24"/>
        </w:rPr>
        <w:t>Students</w:t>
      </w:r>
      <w:r w:rsidRPr="009C31A7">
        <w:rPr>
          <w:rFonts w:eastAsia="Times New Roman" w:cstheme="minorHAnsi"/>
          <w:sz w:val="24"/>
          <w:szCs w:val="24"/>
        </w:rPr>
        <w:t>: Act in accordance with the University's academic integrity guidelines and engage actively in their own academic progress.</w:t>
      </w:r>
    </w:p>
    <w:p w14:paraId="60AE3CDF" w14:textId="77777777" w:rsidR="007D7BC6" w:rsidRPr="009C31A7" w:rsidRDefault="007D7BC6" w:rsidP="009C31A7">
      <w:pPr>
        <w:numPr>
          <w:ilvl w:val="0"/>
          <w:numId w:val="11"/>
        </w:numPr>
        <w:spacing w:before="100" w:beforeAutospacing="1" w:after="100" w:afterAutospacing="1" w:line="240" w:lineRule="auto"/>
        <w:jc w:val="both"/>
        <w:rPr>
          <w:rFonts w:eastAsia="Times New Roman" w:cstheme="minorHAnsi"/>
          <w:sz w:val="24"/>
          <w:szCs w:val="24"/>
        </w:rPr>
      </w:pPr>
      <w:r w:rsidRPr="009C31A7">
        <w:rPr>
          <w:rFonts w:eastAsia="Times New Roman" w:cstheme="minorHAnsi"/>
          <w:b/>
          <w:bCs/>
          <w:sz w:val="24"/>
          <w:szCs w:val="24"/>
        </w:rPr>
        <w:t>Quality Assurance Office</w:t>
      </w:r>
      <w:r w:rsidRPr="009C31A7">
        <w:rPr>
          <w:rFonts w:eastAsia="Times New Roman" w:cstheme="minorHAnsi"/>
          <w:sz w:val="24"/>
          <w:szCs w:val="24"/>
        </w:rPr>
        <w:t>: Oversee the implementation, monitoring, and periodic review of this policy, ensuring that all processes meet the University's quality standards.</w:t>
      </w:r>
    </w:p>
    <w:p w14:paraId="17620E02" w14:textId="07A32443" w:rsidR="007D7BC6" w:rsidRPr="009C31A7" w:rsidRDefault="007D7BC6" w:rsidP="007D7BC6">
      <w:pPr>
        <w:spacing w:after="0" w:line="240" w:lineRule="auto"/>
        <w:rPr>
          <w:rFonts w:eastAsia="Times New Roman" w:cstheme="minorHAnsi"/>
          <w:sz w:val="24"/>
          <w:szCs w:val="24"/>
        </w:rPr>
      </w:pPr>
    </w:p>
    <w:p w14:paraId="27C011C9" w14:textId="77777777" w:rsidR="007D7BC6" w:rsidRPr="009C31A7" w:rsidRDefault="007D7BC6" w:rsidP="009C31A7">
      <w:pPr>
        <w:pStyle w:val="Heading1"/>
        <w:rPr>
          <w:rFonts w:eastAsia="Times New Roman"/>
        </w:rPr>
      </w:pPr>
      <w:bookmarkStart w:id="18" w:name="_Toc180966394"/>
      <w:r w:rsidRPr="009C31A7">
        <w:rPr>
          <w:rFonts w:eastAsia="Times New Roman"/>
        </w:rPr>
        <w:t>9. Conclusion</w:t>
      </w:r>
      <w:bookmarkEnd w:id="18"/>
    </w:p>
    <w:p w14:paraId="0E770232" w14:textId="77777777" w:rsidR="007D7BC6" w:rsidRPr="009C31A7" w:rsidRDefault="007D7BC6" w:rsidP="009C31A7">
      <w:pPr>
        <w:spacing w:before="100" w:beforeAutospacing="1" w:after="100" w:afterAutospacing="1" w:line="240" w:lineRule="auto"/>
        <w:jc w:val="both"/>
        <w:rPr>
          <w:rFonts w:eastAsia="Times New Roman" w:cstheme="minorHAnsi"/>
          <w:sz w:val="24"/>
          <w:szCs w:val="24"/>
        </w:rPr>
      </w:pPr>
      <w:r w:rsidRPr="009C31A7">
        <w:rPr>
          <w:rFonts w:eastAsia="Times New Roman" w:cstheme="minorHAnsi"/>
          <w:sz w:val="24"/>
          <w:szCs w:val="24"/>
        </w:rPr>
        <w:t>This Quality Assurance policy ensures that key academic processes, from admission to certification, are transparent, fair, and rigorous. The University remains committed to maintaining academic excellence and supporting student success through these robust quality assurance mechanisms.</w:t>
      </w:r>
    </w:p>
    <w:p w14:paraId="09E7AE4A" w14:textId="77777777" w:rsidR="00EF5C56" w:rsidRPr="009C31A7" w:rsidRDefault="00EF5C56">
      <w:pPr>
        <w:rPr>
          <w:rFonts w:cstheme="minorHAnsi"/>
        </w:rPr>
      </w:pPr>
    </w:p>
    <w:sectPr w:rsidR="00EF5C56" w:rsidRPr="009C31A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A653D" w14:textId="77777777" w:rsidR="00781278" w:rsidRDefault="00781278" w:rsidP="009C31A7">
      <w:pPr>
        <w:spacing w:after="0" w:line="240" w:lineRule="auto"/>
      </w:pPr>
      <w:r>
        <w:separator/>
      </w:r>
    </w:p>
  </w:endnote>
  <w:endnote w:type="continuationSeparator" w:id="0">
    <w:p w14:paraId="6AB767A9" w14:textId="77777777" w:rsidR="00781278" w:rsidRDefault="00781278" w:rsidP="009C3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292848"/>
      <w:docPartObj>
        <w:docPartGallery w:val="Page Numbers (Bottom of Page)"/>
        <w:docPartUnique/>
      </w:docPartObj>
    </w:sdtPr>
    <w:sdtEndPr>
      <w:rPr>
        <w:noProof/>
      </w:rPr>
    </w:sdtEndPr>
    <w:sdtContent>
      <w:p w14:paraId="13A87674" w14:textId="430BD7A9" w:rsidR="009C31A7" w:rsidRDefault="009C31A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D5ED3A" w14:textId="77777777" w:rsidR="009C31A7" w:rsidRDefault="009C3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1521C" w14:textId="77777777" w:rsidR="00781278" w:rsidRDefault="00781278" w:rsidP="009C31A7">
      <w:pPr>
        <w:spacing w:after="0" w:line="240" w:lineRule="auto"/>
      </w:pPr>
      <w:r>
        <w:separator/>
      </w:r>
    </w:p>
  </w:footnote>
  <w:footnote w:type="continuationSeparator" w:id="0">
    <w:p w14:paraId="1441694E" w14:textId="77777777" w:rsidR="00781278" w:rsidRDefault="00781278" w:rsidP="009C31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A3B3A"/>
    <w:multiLevelType w:val="multilevel"/>
    <w:tmpl w:val="A8C4E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ED1055"/>
    <w:multiLevelType w:val="multilevel"/>
    <w:tmpl w:val="61A8D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762C01"/>
    <w:multiLevelType w:val="multilevel"/>
    <w:tmpl w:val="9E943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FC4B59"/>
    <w:multiLevelType w:val="multilevel"/>
    <w:tmpl w:val="C6D80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605EE9"/>
    <w:multiLevelType w:val="multilevel"/>
    <w:tmpl w:val="A8868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6817E2"/>
    <w:multiLevelType w:val="multilevel"/>
    <w:tmpl w:val="D3BA0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4D6908"/>
    <w:multiLevelType w:val="multilevel"/>
    <w:tmpl w:val="62806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0B1BEE"/>
    <w:multiLevelType w:val="multilevel"/>
    <w:tmpl w:val="64602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787C5E"/>
    <w:multiLevelType w:val="multilevel"/>
    <w:tmpl w:val="F57AE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7513A5"/>
    <w:multiLevelType w:val="multilevel"/>
    <w:tmpl w:val="A01E0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16794E"/>
    <w:multiLevelType w:val="multilevel"/>
    <w:tmpl w:val="EAA2E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570766">
    <w:abstractNumId w:val="6"/>
  </w:num>
  <w:num w:numId="2" w16cid:durableId="2042976628">
    <w:abstractNumId w:val="0"/>
  </w:num>
  <w:num w:numId="3" w16cid:durableId="1458598786">
    <w:abstractNumId w:val="9"/>
  </w:num>
  <w:num w:numId="4" w16cid:durableId="836841712">
    <w:abstractNumId w:val="2"/>
  </w:num>
  <w:num w:numId="5" w16cid:durableId="271523367">
    <w:abstractNumId w:val="3"/>
  </w:num>
  <w:num w:numId="6" w16cid:durableId="1786080024">
    <w:abstractNumId w:val="8"/>
  </w:num>
  <w:num w:numId="7" w16cid:durableId="736853931">
    <w:abstractNumId w:val="5"/>
  </w:num>
  <w:num w:numId="8" w16cid:durableId="1503661508">
    <w:abstractNumId w:val="1"/>
  </w:num>
  <w:num w:numId="9" w16cid:durableId="1381981078">
    <w:abstractNumId w:val="4"/>
  </w:num>
  <w:num w:numId="10" w16cid:durableId="80681137">
    <w:abstractNumId w:val="7"/>
  </w:num>
  <w:num w:numId="11" w16cid:durableId="14477720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BC6"/>
    <w:rsid w:val="00022928"/>
    <w:rsid w:val="000D7AC4"/>
    <w:rsid w:val="000E0F9D"/>
    <w:rsid w:val="001022C0"/>
    <w:rsid w:val="001A040D"/>
    <w:rsid w:val="00232AD0"/>
    <w:rsid w:val="002E3FD0"/>
    <w:rsid w:val="00327C7A"/>
    <w:rsid w:val="004861DC"/>
    <w:rsid w:val="00574425"/>
    <w:rsid w:val="005F21F6"/>
    <w:rsid w:val="006C10B0"/>
    <w:rsid w:val="0077493B"/>
    <w:rsid w:val="00781278"/>
    <w:rsid w:val="007D7BC6"/>
    <w:rsid w:val="009C31A7"/>
    <w:rsid w:val="00A20AC1"/>
    <w:rsid w:val="00B222CF"/>
    <w:rsid w:val="00B54EC2"/>
    <w:rsid w:val="00B67C9B"/>
    <w:rsid w:val="00BB1F1A"/>
    <w:rsid w:val="00C568DC"/>
    <w:rsid w:val="00EF5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13AB5"/>
  <w15:docId w15:val="{52C558CD-EE26-4FEB-895E-2B6962598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31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C31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7B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D7BC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D7BC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D7BC6"/>
    <w:rPr>
      <w:rFonts w:ascii="Times New Roman" w:eastAsia="Times New Roman" w:hAnsi="Times New Roman" w:cs="Times New Roman"/>
      <w:b/>
      <w:bCs/>
      <w:sz w:val="24"/>
      <w:szCs w:val="24"/>
    </w:rPr>
  </w:style>
  <w:style w:type="character" w:styleId="Strong">
    <w:name w:val="Strong"/>
    <w:basedOn w:val="DefaultParagraphFont"/>
    <w:uiPriority w:val="22"/>
    <w:qFormat/>
    <w:rsid w:val="007D7BC6"/>
    <w:rPr>
      <w:b/>
      <w:bCs/>
    </w:rPr>
  </w:style>
  <w:style w:type="paragraph" w:styleId="NormalWeb">
    <w:name w:val="Normal (Web)"/>
    <w:basedOn w:val="Normal"/>
    <w:uiPriority w:val="99"/>
    <w:semiHidden/>
    <w:unhideWhenUsed/>
    <w:rsid w:val="007D7BC6"/>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autoRedefine/>
    <w:uiPriority w:val="1"/>
    <w:qFormat/>
    <w:rsid w:val="009C31A7"/>
    <w:pPr>
      <w:widowControl w:val="0"/>
      <w:autoSpaceDE w:val="0"/>
      <w:autoSpaceDN w:val="0"/>
      <w:spacing w:after="0" w:line="240" w:lineRule="auto"/>
      <w:contextualSpacing/>
      <w:jc w:val="center"/>
    </w:pPr>
    <w:rPr>
      <w:rFonts w:cstheme="minorHAnsi"/>
      <w:b/>
      <w:sz w:val="48"/>
      <w:szCs w:val="48"/>
    </w:rPr>
  </w:style>
  <w:style w:type="character" w:customStyle="1" w:styleId="BodyTextChar">
    <w:name w:val="Body Text Char"/>
    <w:basedOn w:val="DefaultParagraphFont"/>
    <w:link w:val="BodyText"/>
    <w:uiPriority w:val="1"/>
    <w:rsid w:val="009C31A7"/>
    <w:rPr>
      <w:rFonts w:cstheme="minorHAnsi"/>
      <w:b/>
      <w:sz w:val="48"/>
      <w:szCs w:val="48"/>
    </w:rPr>
  </w:style>
  <w:style w:type="paragraph" w:customStyle="1" w:styleId="TableParagraph">
    <w:name w:val="Table Paragraph"/>
    <w:basedOn w:val="Normal"/>
    <w:uiPriority w:val="1"/>
    <w:qFormat/>
    <w:rsid w:val="009C31A7"/>
    <w:pPr>
      <w:widowControl w:val="0"/>
      <w:autoSpaceDE w:val="0"/>
      <w:autoSpaceDN w:val="0"/>
      <w:spacing w:after="0" w:line="240" w:lineRule="auto"/>
      <w:contextualSpacing/>
      <w:jc w:val="both"/>
    </w:pPr>
    <w:rPr>
      <w:rFonts w:ascii="Times New Roman" w:eastAsia="Times New Roman" w:hAnsi="Times New Roman" w:cs="Times New Roman"/>
      <w:sz w:val="24"/>
    </w:rPr>
  </w:style>
  <w:style w:type="character" w:customStyle="1" w:styleId="Heading1Char">
    <w:name w:val="Heading 1 Char"/>
    <w:basedOn w:val="DefaultParagraphFont"/>
    <w:link w:val="Heading1"/>
    <w:uiPriority w:val="9"/>
    <w:rsid w:val="009C31A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C31A7"/>
    <w:pPr>
      <w:outlineLvl w:val="9"/>
    </w:pPr>
  </w:style>
  <w:style w:type="paragraph" w:styleId="TOC3">
    <w:name w:val="toc 3"/>
    <w:basedOn w:val="Normal"/>
    <w:next w:val="Normal"/>
    <w:autoRedefine/>
    <w:uiPriority w:val="39"/>
    <w:unhideWhenUsed/>
    <w:rsid w:val="009C31A7"/>
    <w:pPr>
      <w:spacing w:after="100"/>
      <w:ind w:left="440"/>
    </w:pPr>
  </w:style>
  <w:style w:type="character" w:styleId="Hyperlink">
    <w:name w:val="Hyperlink"/>
    <w:basedOn w:val="DefaultParagraphFont"/>
    <w:uiPriority w:val="99"/>
    <w:unhideWhenUsed/>
    <w:rsid w:val="009C31A7"/>
    <w:rPr>
      <w:color w:val="0563C1" w:themeColor="hyperlink"/>
      <w:u w:val="single"/>
    </w:rPr>
  </w:style>
  <w:style w:type="character" w:customStyle="1" w:styleId="Heading2Char">
    <w:name w:val="Heading 2 Char"/>
    <w:basedOn w:val="DefaultParagraphFont"/>
    <w:link w:val="Heading2"/>
    <w:uiPriority w:val="9"/>
    <w:rsid w:val="009C31A7"/>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9C31A7"/>
    <w:pPr>
      <w:spacing w:after="100"/>
    </w:pPr>
  </w:style>
  <w:style w:type="paragraph" w:styleId="TOC2">
    <w:name w:val="toc 2"/>
    <w:basedOn w:val="Normal"/>
    <w:next w:val="Normal"/>
    <w:autoRedefine/>
    <w:uiPriority w:val="39"/>
    <w:unhideWhenUsed/>
    <w:rsid w:val="009C31A7"/>
    <w:pPr>
      <w:spacing w:after="100"/>
      <w:ind w:left="220"/>
    </w:pPr>
  </w:style>
  <w:style w:type="paragraph" w:styleId="Header">
    <w:name w:val="header"/>
    <w:basedOn w:val="Normal"/>
    <w:link w:val="HeaderChar"/>
    <w:uiPriority w:val="99"/>
    <w:unhideWhenUsed/>
    <w:rsid w:val="009C31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1A7"/>
  </w:style>
  <w:style w:type="paragraph" w:styleId="Footer">
    <w:name w:val="footer"/>
    <w:basedOn w:val="Normal"/>
    <w:link w:val="FooterChar"/>
    <w:uiPriority w:val="99"/>
    <w:unhideWhenUsed/>
    <w:rsid w:val="009C31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786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1414</Words>
  <Characters>8063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favour nwachokor</cp:lastModifiedBy>
  <cp:revision>3</cp:revision>
  <dcterms:created xsi:type="dcterms:W3CDTF">2024-10-27T23:09:00Z</dcterms:created>
  <dcterms:modified xsi:type="dcterms:W3CDTF">2024-10-31T09:03:00Z</dcterms:modified>
</cp:coreProperties>
</file>