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0CA5" w14:textId="5B4ED6FA" w:rsidR="00B420D4" w:rsidRPr="00E00AEB" w:rsidRDefault="00D14F70" w:rsidP="00B420D4">
      <w:pPr>
        <w:pStyle w:val="BodyText"/>
        <w:rPr>
          <w:sz w:val="20"/>
        </w:rPr>
      </w:pPr>
      <w:r w:rsidRPr="00D14F70">
        <w:t xml:space="preserve">Policy on the design and delivery of </w:t>
      </w:r>
      <w:r w:rsidR="003D2FDF" w:rsidRPr="00D14F70">
        <w:t>teaching and</w:t>
      </w:r>
      <w:r w:rsidRPr="00D14F70">
        <w:t xml:space="preserve"> learning</w:t>
      </w:r>
      <w:r w:rsidR="00B420D4" w:rsidRPr="00E00AEB">
        <w:rPr>
          <w:noProof/>
        </w:rPr>
        <w:drawing>
          <wp:anchor distT="0" distB="0" distL="0" distR="0" simplePos="0" relativeHeight="251659264" behindDoc="1" locked="0" layoutInCell="1" allowOverlap="1" wp14:anchorId="6FA4F066" wp14:editId="25A77477">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6" cstate="print"/>
                    <a:stretch>
                      <a:fillRect/>
                    </a:stretch>
                  </pic:blipFill>
                  <pic:spPr>
                    <a:xfrm>
                      <a:off x="0" y="0"/>
                      <a:ext cx="1024945" cy="866775"/>
                    </a:xfrm>
                    <a:prstGeom prst="rect">
                      <a:avLst/>
                    </a:prstGeom>
                  </pic:spPr>
                </pic:pic>
              </a:graphicData>
            </a:graphic>
          </wp:anchor>
        </w:drawing>
      </w:r>
    </w:p>
    <w:p w14:paraId="61F7F16D" w14:textId="77777777" w:rsidR="00B420D4" w:rsidRPr="00E00AEB" w:rsidRDefault="00B420D4" w:rsidP="00B420D4">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B420D4" w:rsidRPr="00E00AEB" w14:paraId="3DC00F0B" w14:textId="77777777" w:rsidTr="00861CC4">
        <w:trPr>
          <w:trHeight w:val="419"/>
        </w:trPr>
        <w:tc>
          <w:tcPr>
            <w:tcW w:w="3937" w:type="dxa"/>
            <w:tcBorders>
              <w:right w:val="single" w:sz="4" w:space="0" w:color="000000"/>
            </w:tcBorders>
          </w:tcPr>
          <w:p w14:paraId="7FF5DA7B" w14:textId="77777777" w:rsidR="00B420D4" w:rsidRPr="00E00AEB" w:rsidRDefault="00B420D4" w:rsidP="00861CC4">
            <w:pPr>
              <w:pStyle w:val="TableParagraph"/>
              <w:spacing w:before="1"/>
              <w:ind w:left="3" w:right="208"/>
              <w:jc w:val="center"/>
              <w:rPr>
                <w:rFonts w:asciiTheme="minorHAnsi" w:hAnsiTheme="minorHAnsi" w:cstheme="minorHAnsi"/>
                <w:b/>
              </w:rPr>
            </w:pPr>
            <w:r w:rsidRPr="00E00AEB">
              <w:rPr>
                <w:rFonts w:asciiTheme="minorHAnsi" w:hAnsiTheme="minorHAnsi" w:cstheme="minorHAnsi"/>
                <w:b/>
              </w:rPr>
              <w:t>Responsible</w:t>
            </w:r>
            <w:r w:rsidRPr="00E00AEB">
              <w:rPr>
                <w:rFonts w:asciiTheme="minorHAnsi" w:hAnsiTheme="minorHAnsi" w:cstheme="minorHAnsi"/>
                <w:b/>
                <w:spacing w:val="-2"/>
              </w:rPr>
              <w:t xml:space="preserve"> Executive</w:t>
            </w:r>
          </w:p>
        </w:tc>
        <w:tc>
          <w:tcPr>
            <w:tcW w:w="4030" w:type="dxa"/>
            <w:tcBorders>
              <w:left w:val="single" w:sz="4" w:space="0" w:color="000000"/>
            </w:tcBorders>
          </w:tcPr>
          <w:p w14:paraId="15CB9281" w14:textId="77777777" w:rsidR="00B420D4" w:rsidRPr="00E00AEB" w:rsidRDefault="00B420D4" w:rsidP="00861CC4">
            <w:pPr>
              <w:pStyle w:val="TableParagraph"/>
              <w:spacing w:before="1"/>
              <w:ind w:left="126" w:right="11"/>
              <w:jc w:val="center"/>
              <w:rPr>
                <w:rFonts w:asciiTheme="minorHAnsi" w:hAnsiTheme="minorHAnsi" w:cstheme="minorHAnsi"/>
                <w:b/>
              </w:rPr>
            </w:pPr>
            <w:r w:rsidRPr="00E00AEB">
              <w:rPr>
                <w:rFonts w:asciiTheme="minorHAnsi" w:hAnsiTheme="minorHAnsi" w:cstheme="minorHAnsi"/>
                <w:b/>
              </w:rPr>
              <w:t>Vice</w:t>
            </w:r>
            <w:r w:rsidRPr="00E00AEB">
              <w:rPr>
                <w:rFonts w:asciiTheme="minorHAnsi" w:hAnsiTheme="minorHAnsi" w:cstheme="minorHAnsi"/>
                <w:b/>
                <w:spacing w:val="-7"/>
              </w:rPr>
              <w:t xml:space="preserve"> </w:t>
            </w:r>
            <w:r w:rsidRPr="00E00AEB">
              <w:rPr>
                <w:rFonts w:asciiTheme="minorHAnsi" w:hAnsiTheme="minorHAnsi" w:cstheme="minorHAnsi"/>
                <w:b/>
                <w:spacing w:val="-2"/>
              </w:rPr>
              <w:t>Chancellor</w:t>
            </w:r>
          </w:p>
        </w:tc>
      </w:tr>
      <w:tr w:rsidR="00B420D4" w:rsidRPr="00E00AEB" w14:paraId="39D8C661" w14:textId="77777777" w:rsidTr="00861CC4">
        <w:trPr>
          <w:trHeight w:val="552"/>
        </w:trPr>
        <w:tc>
          <w:tcPr>
            <w:tcW w:w="3937" w:type="dxa"/>
            <w:tcBorders>
              <w:right w:val="single" w:sz="4" w:space="0" w:color="000000"/>
            </w:tcBorders>
          </w:tcPr>
          <w:p w14:paraId="0C0DEAF9" w14:textId="77777777" w:rsidR="00B420D4" w:rsidRPr="00E00AEB" w:rsidRDefault="00B420D4" w:rsidP="00861CC4">
            <w:pPr>
              <w:pStyle w:val="TableParagraph"/>
              <w:spacing w:before="132"/>
              <w:ind w:left="5" w:right="208"/>
              <w:jc w:val="center"/>
              <w:rPr>
                <w:rFonts w:asciiTheme="minorHAnsi" w:hAnsiTheme="minorHAnsi" w:cstheme="minorHAnsi"/>
                <w:b/>
              </w:rPr>
            </w:pPr>
            <w:r w:rsidRPr="00E00AEB">
              <w:rPr>
                <w:rFonts w:asciiTheme="minorHAnsi" w:hAnsiTheme="minorHAnsi" w:cstheme="minorHAnsi"/>
                <w:b/>
              </w:rPr>
              <w:t>Responsible</w:t>
            </w:r>
            <w:r w:rsidRPr="00E00AEB">
              <w:rPr>
                <w:rFonts w:asciiTheme="minorHAnsi" w:hAnsiTheme="minorHAnsi" w:cstheme="minorHAnsi"/>
                <w:b/>
                <w:spacing w:val="-2"/>
              </w:rPr>
              <w:t xml:space="preserve"> Division</w:t>
            </w:r>
          </w:p>
        </w:tc>
        <w:tc>
          <w:tcPr>
            <w:tcW w:w="4030" w:type="dxa"/>
            <w:tcBorders>
              <w:left w:val="single" w:sz="4" w:space="0" w:color="000000"/>
            </w:tcBorders>
          </w:tcPr>
          <w:p w14:paraId="0CFBFAFF" w14:textId="77777777" w:rsidR="00B420D4" w:rsidRPr="00E00AEB" w:rsidRDefault="00B420D4" w:rsidP="00861CC4">
            <w:pPr>
              <w:pStyle w:val="TableParagraph"/>
              <w:spacing w:before="132"/>
              <w:ind w:left="126" w:right="3"/>
              <w:jc w:val="center"/>
              <w:rPr>
                <w:rFonts w:asciiTheme="minorHAnsi" w:hAnsiTheme="minorHAnsi" w:cstheme="minorHAnsi"/>
                <w:b/>
              </w:rPr>
            </w:pPr>
            <w:r w:rsidRPr="00E00AEB">
              <w:rPr>
                <w:rFonts w:asciiTheme="minorHAnsi" w:hAnsiTheme="minorHAnsi" w:cstheme="minorHAnsi"/>
                <w:b/>
              </w:rPr>
              <w:t>Directorate</w:t>
            </w:r>
            <w:r w:rsidRPr="00E00AEB">
              <w:rPr>
                <w:rFonts w:asciiTheme="minorHAnsi" w:hAnsiTheme="minorHAnsi" w:cstheme="minorHAnsi"/>
                <w:b/>
                <w:spacing w:val="-7"/>
              </w:rPr>
              <w:t xml:space="preserve"> </w:t>
            </w:r>
            <w:r w:rsidRPr="00E00AEB">
              <w:rPr>
                <w:rFonts w:asciiTheme="minorHAnsi" w:hAnsiTheme="minorHAnsi" w:cstheme="minorHAnsi"/>
                <w:b/>
              </w:rPr>
              <w:t>of</w:t>
            </w:r>
            <w:r w:rsidRPr="00E00AEB">
              <w:rPr>
                <w:rFonts w:asciiTheme="minorHAnsi" w:hAnsiTheme="minorHAnsi" w:cstheme="minorHAnsi"/>
                <w:b/>
                <w:spacing w:val="-1"/>
              </w:rPr>
              <w:t xml:space="preserve"> </w:t>
            </w:r>
            <w:r w:rsidRPr="00E00AEB">
              <w:rPr>
                <w:rFonts w:asciiTheme="minorHAnsi" w:hAnsiTheme="minorHAnsi" w:cstheme="minorHAnsi"/>
                <w:b/>
              </w:rPr>
              <w:t>Quality</w:t>
            </w:r>
            <w:r w:rsidRPr="00E00AEB">
              <w:rPr>
                <w:rFonts w:asciiTheme="minorHAnsi" w:hAnsiTheme="minorHAnsi" w:cstheme="minorHAnsi"/>
                <w:b/>
                <w:spacing w:val="-4"/>
              </w:rPr>
              <w:t xml:space="preserve"> </w:t>
            </w:r>
            <w:r w:rsidRPr="00E00AEB">
              <w:rPr>
                <w:rFonts w:asciiTheme="minorHAnsi" w:hAnsiTheme="minorHAnsi" w:cstheme="minorHAnsi"/>
                <w:b/>
                <w:spacing w:val="-2"/>
              </w:rPr>
              <w:t>Assurance</w:t>
            </w:r>
          </w:p>
        </w:tc>
      </w:tr>
      <w:tr w:rsidR="00B420D4" w:rsidRPr="00E00AEB" w14:paraId="761D7BF1" w14:textId="77777777" w:rsidTr="00861CC4">
        <w:trPr>
          <w:trHeight w:val="552"/>
        </w:trPr>
        <w:tc>
          <w:tcPr>
            <w:tcW w:w="3937" w:type="dxa"/>
            <w:tcBorders>
              <w:right w:val="single" w:sz="4" w:space="0" w:color="000000"/>
            </w:tcBorders>
          </w:tcPr>
          <w:p w14:paraId="4C3F447D" w14:textId="77777777" w:rsidR="00B420D4" w:rsidRPr="00E00AEB" w:rsidRDefault="00B420D4" w:rsidP="00861CC4">
            <w:pPr>
              <w:pStyle w:val="TableParagraph"/>
              <w:spacing w:before="134"/>
              <w:ind w:left="9" w:right="208"/>
              <w:jc w:val="center"/>
              <w:rPr>
                <w:rFonts w:asciiTheme="minorHAnsi" w:hAnsiTheme="minorHAnsi" w:cstheme="minorHAnsi"/>
                <w:b/>
              </w:rPr>
            </w:pPr>
            <w:r w:rsidRPr="00E00AEB">
              <w:rPr>
                <w:rFonts w:asciiTheme="minorHAnsi" w:hAnsiTheme="minorHAnsi" w:cstheme="minorHAnsi"/>
                <w:b/>
              </w:rPr>
              <w:t xml:space="preserve">Approved </w:t>
            </w:r>
            <w:r w:rsidRPr="00E00AEB">
              <w:rPr>
                <w:rFonts w:asciiTheme="minorHAnsi" w:hAnsiTheme="minorHAnsi" w:cstheme="minorHAnsi"/>
                <w:b/>
                <w:spacing w:val="-5"/>
              </w:rPr>
              <w:t>By</w:t>
            </w:r>
          </w:p>
        </w:tc>
        <w:tc>
          <w:tcPr>
            <w:tcW w:w="4030" w:type="dxa"/>
            <w:tcBorders>
              <w:left w:val="single" w:sz="4" w:space="0" w:color="000000"/>
            </w:tcBorders>
          </w:tcPr>
          <w:p w14:paraId="323353AA" w14:textId="77777777" w:rsidR="00B420D4" w:rsidRPr="00E00AEB" w:rsidRDefault="00B420D4" w:rsidP="00861CC4">
            <w:pPr>
              <w:pStyle w:val="TableParagraph"/>
              <w:spacing w:before="134"/>
              <w:ind w:left="126"/>
              <w:jc w:val="center"/>
              <w:rPr>
                <w:rFonts w:asciiTheme="minorHAnsi" w:hAnsiTheme="minorHAnsi" w:cstheme="minorHAnsi"/>
                <w:b/>
              </w:rPr>
            </w:pPr>
          </w:p>
        </w:tc>
      </w:tr>
      <w:tr w:rsidR="00B420D4" w:rsidRPr="00E00AEB" w14:paraId="59A81940" w14:textId="77777777" w:rsidTr="00861CC4">
        <w:trPr>
          <w:trHeight w:val="550"/>
        </w:trPr>
        <w:tc>
          <w:tcPr>
            <w:tcW w:w="3937" w:type="dxa"/>
            <w:tcBorders>
              <w:right w:val="single" w:sz="4" w:space="0" w:color="000000"/>
            </w:tcBorders>
          </w:tcPr>
          <w:p w14:paraId="6428CEED" w14:textId="77777777" w:rsidR="00B420D4" w:rsidRPr="00E00AEB" w:rsidRDefault="00B420D4" w:rsidP="00861CC4">
            <w:pPr>
              <w:pStyle w:val="TableParagraph"/>
              <w:spacing w:before="132"/>
              <w:ind w:left="7" w:right="208"/>
              <w:jc w:val="center"/>
              <w:rPr>
                <w:rFonts w:asciiTheme="minorHAnsi" w:hAnsiTheme="minorHAnsi" w:cstheme="minorHAnsi"/>
                <w:b/>
              </w:rPr>
            </w:pPr>
            <w:r w:rsidRPr="00E00AEB">
              <w:rPr>
                <w:rFonts w:asciiTheme="minorHAnsi" w:hAnsiTheme="minorHAnsi" w:cstheme="minorHAnsi"/>
                <w:b/>
              </w:rPr>
              <w:t>Date</w:t>
            </w:r>
            <w:r w:rsidRPr="00E00AEB">
              <w:rPr>
                <w:rFonts w:asciiTheme="minorHAnsi" w:hAnsiTheme="minorHAnsi" w:cstheme="minorHAnsi"/>
                <w:b/>
                <w:spacing w:val="-1"/>
              </w:rPr>
              <w:t xml:space="preserve"> </w:t>
            </w:r>
            <w:r w:rsidRPr="00E00AEB">
              <w:rPr>
                <w:rFonts w:asciiTheme="minorHAnsi" w:hAnsiTheme="minorHAnsi" w:cstheme="minorHAnsi"/>
                <w:b/>
                <w:spacing w:val="-2"/>
              </w:rPr>
              <w:t>Approved</w:t>
            </w:r>
          </w:p>
        </w:tc>
        <w:tc>
          <w:tcPr>
            <w:tcW w:w="4030" w:type="dxa"/>
            <w:tcBorders>
              <w:left w:val="single" w:sz="4" w:space="0" w:color="000000"/>
            </w:tcBorders>
          </w:tcPr>
          <w:p w14:paraId="0C97360A" w14:textId="77777777" w:rsidR="00B420D4" w:rsidRDefault="00B420D4" w:rsidP="00861CC4">
            <w:pPr>
              <w:pStyle w:val="TableParagraph"/>
              <w:rPr>
                <w:rFonts w:asciiTheme="minorHAnsi" w:hAnsiTheme="minorHAnsi" w:cstheme="minorHAnsi"/>
              </w:rPr>
            </w:pPr>
            <w:r>
              <w:rPr>
                <w:rFonts w:asciiTheme="minorHAnsi" w:hAnsiTheme="minorHAnsi" w:cstheme="minorHAnsi"/>
              </w:rPr>
              <w:t xml:space="preserve">           </w:t>
            </w:r>
          </w:p>
          <w:p w14:paraId="2000CC3E" w14:textId="77777777" w:rsidR="00B420D4" w:rsidRPr="00E00AEB" w:rsidRDefault="00B420D4" w:rsidP="00861CC4">
            <w:pPr>
              <w:pStyle w:val="TableParagraph"/>
              <w:rPr>
                <w:rFonts w:asciiTheme="minorHAnsi" w:hAnsiTheme="minorHAnsi" w:cstheme="minorHAnsi"/>
              </w:rPr>
            </w:pPr>
            <w:r>
              <w:rPr>
                <w:rFonts w:asciiTheme="minorHAnsi" w:hAnsiTheme="minorHAnsi" w:cstheme="minorHAnsi"/>
              </w:rPr>
              <w:t xml:space="preserve">                </w:t>
            </w:r>
          </w:p>
        </w:tc>
      </w:tr>
      <w:tr w:rsidR="00B420D4" w:rsidRPr="00E00AEB" w14:paraId="37CA9B93" w14:textId="77777777" w:rsidTr="00861CC4">
        <w:trPr>
          <w:trHeight w:val="552"/>
        </w:trPr>
        <w:tc>
          <w:tcPr>
            <w:tcW w:w="3937" w:type="dxa"/>
            <w:tcBorders>
              <w:right w:val="single" w:sz="4" w:space="0" w:color="000000"/>
            </w:tcBorders>
          </w:tcPr>
          <w:p w14:paraId="20DD84F8" w14:textId="77777777" w:rsidR="00B420D4" w:rsidRPr="00E00AEB" w:rsidRDefault="00B420D4" w:rsidP="00861CC4">
            <w:pPr>
              <w:pStyle w:val="TableParagraph"/>
              <w:spacing w:before="132"/>
              <w:ind w:right="208"/>
              <w:jc w:val="center"/>
              <w:rPr>
                <w:rFonts w:asciiTheme="minorHAnsi" w:hAnsiTheme="minorHAnsi" w:cstheme="minorHAnsi"/>
                <w:b/>
              </w:rPr>
            </w:pPr>
            <w:r w:rsidRPr="00E00AEB">
              <w:rPr>
                <w:rFonts w:asciiTheme="minorHAnsi" w:hAnsiTheme="minorHAnsi" w:cstheme="minorHAnsi"/>
                <w:b/>
              </w:rPr>
              <w:t>Review</w:t>
            </w:r>
            <w:r w:rsidRPr="00E00AEB">
              <w:rPr>
                <w:rFonts w:asciiTheme="minorHAnsi" w:hAnsiTheme="minorHAnsi" w:cstheme="minorHAnsi"/>
                <w:b/>
                <w:spacing w:val="-11"/>
              </w:rPr>
              <w:t xml:space="preserve"> </w:t>
            </w:r>
            <w:r w:rsidRPr="00E00AEB">
              <w:rPr>
                <w:rFonts w:asciiTheme="minorHAnsi" w:hAnsiTheme="minorHAnsi" w:cstheme="minorHAnsi"/>
                <w:b/>
                <w:spacing w:val="-4"/>
              </w:rPr>
              <w:t>Date</w:t>
            </w:r>
          </w:p>
        </w:tc>
        <w:tc>
          <w:tcPr>
            <w:tcW w:w="4030" w:type="dxa"/>
            <w:tcBorders>
              <w:left w:val="single" w:sz="4" w:space="0" w:color="000000"/>
            </w:tcBorders>
            <w:shd w:val="clear" w:color="auto" w:fill="auto"/>
          </w:tcPr>
          <w:p w14:paraId="6D42D3F7" w14:textId="77777777" w:rsidR="00B420D4" w:rsidRPr="00E00AEB" w:rsidRDefault="00B420D4" w:rsidP="00861CC4">
            <w:pPr>
              <w:pStyle w:val="TableParagraph"/>
              <w:spacing w:before="132"/>
              <w:ind w:left="126" w:right="5"/>
              <w:jc w:val="center"/>
              <w:rPr>
                <w:rFonts w:asciiTheme="minorHAnsi" w:hAnsiTheme="minorHAnsi" w:cstheme="minorHAnsi"/>
                <w:b/>
              </w:rPr>
            </w:pPr>
            <w:r w:rsidRPr="00C4461D">
              <w:rPr>
                <w:rFonts w:asciiTheme="minorHAnsi" w:hAnsiTheme="minorHAnsi" w:cstheme="minorHAnsi"/>
                <w:b/>
              </w:rPr>
              <w:t>After</w:t>
            </w:r>
            <w:r w:rsidRPr="00C4461D">
              <w:rPr>
                <w:rFonts w:asciiTheme="minorHAnsi" w:hAnsiTheme="minorHAnsi" w:cstheme="minorHAnsi"/>
                <w:b/>
                <w:spacing w:val="-4"/>
              </w:rPr>
              <w:t xml:space="preserve"> </w:t>
            </w:r>
            <w:r w:rsidRPr="00C4461D">
              <w:rPr>
                <w:rFonts w:asciiTheme="minorHAnsi" w:hAnsiTheme="minorHAnsi" w:cstheme="minorHAnsi"/>
                <w:b/>
              </w:rPr>
              <w:t>every</w:t>
            </w:r>
            <w:r w:rsidRPr="00C4461D">
              <w:rPr>
                <w:rFonts w:asciiTheme="minorHAnsi" w:hAnsiTheme="minorHAnsi" w:cstheme="minorHAnsi"/>
                <w:b/>
                <w:spacing w:val="-1"/>
              </w:rPr>
              <w:t xml:space="preserve"> </w:t>
            </w:r>
            <w:r w:rsidRPr="00C4461D">
              <w:rPr>
                <w:rFonts w:asciiTheme="minorHAnsi" w:hAnsiTheme="minorHAnsi" w:cstheme="minorHAnsi"/>
                <w:b/>
              </w:rPr>
              <w:t>four</w:t>
            </w:r>
            <w:r w:rsidRPr="00C4461D">
              <w:rPr>
                <w:rFonts w:asciiTheme="minorHAnsi" w:hAnsiTheme="minorHAnsi" w:cstheme="minorHAnsi"/>
                <w:b/>
                <w:spacing w:val="-4"/>
              </w:rPr>
              <w:t xml:space="preserve"> </w:t>
            </w:r>
            <w:r w:rsidRPr="00C4461D">
              <w:rPr>
                <w:rFonts w:asciiTheme="minorHAnsi" w:hAnsiTheme="minorHAnsi" w:cstheme="minorHAnsi"/>
                <w:b/>
              </w:rPr>
              <w:t>(4)</w:t>
            </w:r>
            <w:r w:rsidRPr="00C4461D">
              <w:rPr>
                <w:rFonts w:asciiTheme="minorHAnsi" w:hAnsiTheme="minorHAnsi" w:cstheme="minorHAnsi"/>
                <w:b/>
                <w:spacing w:val="-1"/>
              </w:rPr>
              <w:t xml:space="preserve"> </w:t>
            </w:r>
            <w:r w:rsidRPr="00C4461D">
              <w:rPr>
                <w:rFonts w:asciiTheme="minorHAnsi" w:hAnsiTheme="minorHAnsi" w:cstheme="minorHAnsi"/>
                <w:b/>
                <w:spacing w:val="-4"/>
              </w:rPr>
              <w:t>years</w:t>
            </w:r>
          </w:p>
        </w:tc>
      </w:tr>
      <w:tr w:rsidR="00B420D4" w:rsidRPr="00E00AEB" w14:paraId="2CC1EE53" w14:textId="77777777" w:rsidTr="00861CC4">
        <w:trPr>
          <w:trHeight w:val="2894"/>
        </w:trPr>
        <w:tc>
          <w:tcPr>
            <w:tcW w:w="3937" w:type="dxa"/>
            <w:tcBorders>
              <w:right w:val="single" w:sz="4" w:space="0" w:color="000000"/>
            </w:tcBorders>
          </w:tcPr>
          <w:p w14:paraId="72BF1F28" w14:textId="77777777" w:rsidR="00B420D4" w:rsidRPr="00E00AEB" w:rsidRDefault="00B420D4" w:rsidP="00861CC4">
            <w:pPr>
              <w:pStyle w:val="TableParagraph"/>
              <w:spacing w:before="134"/>
              <w:ind w:right="208"/>
              <w:jc w:val="center"/>
              <w:rPr>
                <w:rFonts w:asciiTheme="minorHAnsi" w:hAnsiTheme="minorHAnsi" w:cstheme="minorHAnsi"/>
                <w:b/>
              </w:rPr>
            </w:pPr>
            <w:r w:rsidRPr="00E00AEB">
              <w:rPr>
                <w:rFonts w:asciiTheme="minorHAnsi" w:hAnsiTheme="minorHAnsi" w:cstheme="minorHAnsi"/>
                <w:b/>
              </w:rPr>
              <w:t>Stakeholders</w:t>
            </w:r>
            <w:r w:rsidRPr="00E00AEB">
              <w:rPr>
                <w:rFonts w:asciiTheme="minorHAnsi" w:hAnsiTheme="minorHAnsi" w:cstheme="minorHAnsi"/>
                <w:b/>
                <w:spacing w:val="-2"/>
              </w:rPr>
              <w:t xml:space="preserve"> </w:t>
            </w:r>
            <w:r w:rsidRPr="00E00AEB">
              <w:rPr>
                <w:rFonts w:asciiTheme="minorHAnsi" w:hAnsiTheme="minorHAnsi" w:cstheme="minorHAnsi"/>
                <w:b/>
              </w:rPr>
              <w:t>affected</w:t>
            </w:r>
            <w:r w:rsidRPr="00E00AEB">
              <w:rPr>
                <w:rFonts w:asciiTheme="minorHAnsi" w:hAnsiTheme="minorHAnsi" w:cstheme="minorHAnsi"/>
                <w:b/>
                <w:spacing w:val="-2"/>
              </w:rPr>
              <w:t xml:space="preserve"> </w:t>
            </w:r>
            <w:r w:rsidRPr="00E00AEB">
              <w:rPr>
                <w:rFonts w:asciiTheme="minorHAnsi" w:hAnsiTheme="minorHAnsi" w:cstheme="minorHAnsi"/>
                <w:b/>
              </w:rPr>
              <w:t>by</w:t>
            </w:r>
            <w:r w:rsidRPr="00E00AEB">
              <w:rPr>
                <w:rFonts w:asciiTheme="minorHAnsi" w:hAnsiTheme="minorHAnsi" w:cstheme="minorHAnsi"/>
                <w:b/>
                <w:spacing w:val="-2"/>
              </w:rPr>
              <w:t xml:space="preserve"> </w:t>
            </w:r>
            <w:r w:rsidRPr="00E00AEB">
              <w:rPr>
                <w:rFonts w:asciiTheme="minorHAnsi" w:hAnsiTheme="minorHAnsi" w:cstheme="minorHAnsi"/>
                <w:b/>
              </w:rPr>
              <w:t>this</w:t>
            </w:r>
            <w:r w:rsidRPr="00E00AEB">
              <w:rPr>
                <w:rFonts w:asciiTheme="minorHAnsi" w:hAnsiTheme="minorHAnsi" w:cstheme="minorHAnsi"/>
                <w:b/>
                <w:spacing w:val="-1"/>
              </w:rPr>
              <w:t xml:space="preserve"> </w:t>
            </w:r>
            <w:r w:rsidRPr="00E00AEB">
              <w:rPr>
                <w:rFonts w:asciiTheme="minorHAnsi" w:hAnsiTheme="minorHAnsi" w:cstheme="minorHAnsi"/>
                <w:b/>
                <w:spacing w:val="-2"/>
              </w:rPr>
              <w:t>policy</w:t>
            </w:r>
          </w:p>
        </w:tc>
        <w:tc>
          <w:tcPr>
            <w:tcW w:w="4030" w:type="dxa"/>
            <w:tcBorders>
              <w:left w:val="single" w:sz="4" w:space="0" w:color="000000"/>
            </w:tcBorders>
          </w:tcPr>
          <w:p w14:paraId="291B29AF" w14:textId="77777777" w:rsidR="00B420D4" w:rsidRPr="00E00AEB" w:rsidRDefault="00B420D4" w:rsidP="00861CC4">
            <w:pPr>
              <w:pStyle w:val="TableParagraph"/>
              <w:spacing w:before="134" w:line="480" w:lineRule="auto"/>
              <w:ind w:left="169" w:right="48" w:firstLine="4"/>
              <w:jc w:val="center"/>
              <w:rPr>
                <w:rFonts w:asciiTheme="minorHAnsi" w:hAnsiTheme="minorHAnsi" w:cstheme="minorHAnsi"/>
                <w:b/>
              </w:rPr>
            </w:pPr>
            <w:r w:rsidRPr="00E00AEB">
              <w:rPr>
                <w:rFonts w:asciiTheme="minorHAnsi" w:hAnsiTheme="minorHAnsi" w:cstheme="minorHAnsi"/>
                <w:b/>
              </w:rPr>
              <w:t>All</w:t>
            </w:r>
            <w:r w:rsidRPr="00E00AEB">
              <w:rPr>
                <w:rFonts w:asciiTheme="minorHAnsi" w:hAnsiTheme="minorHAnsi" w:cstheme="minorHAnsi"/>
                <w:b/>
                <w:spacing w:val="-6"/>
              </w:rPr>
              <w:t xml:space="preserve"> </w:t>
            </w:r>
            <w:r w:rsidRPr="00E00AEB">
              <w:rPr>
                <w:rFonts w:asciiTheme="minorHAnsi" w:hAnsiTheme="minorHAnsi" w:cstheme="minorHAnsi"/>
                <w:b/>
              </w:rPr>
              <w:t>categories</w:t>
            </w:r>
            <w:r w:rsidRPr="00E00AEB">
              <w:rPr>
                <w:rFonts w:asciiTheme="minorHAnsi" w:hAnsiTheme="minorHAnsi" w:cstheme="minorHAnsi"/>
                <w:b/>
                <w:spacing w:val="-4"/>
              </w:rPr>
              <w:t xml:space="preserve"> </w:t>
            </w:r>
            <w:r w:rsidRPr="00E00AEB">
              <w:rPr>
                <w:rFonts w:asciiTheme="minorHAnsi" w:hAnsiTheme="minorHAnsi" w:cstheme="minorHAnsi"/>
                <w:b/>
              </w:rPr>
              <w:t>of</w:t>
            </w:r>
            <w:r w:rsidRPr="00E00AEB">
              <w:rPr>
                <w:rFonts w:asciiTheme="minorHAnsi" w:hAnsiTheme="minorHAnsi" w:cstheme="minorHAnsi"/>
                <w:b/>
                <w:spacing w:val="-4"/>
              </w:rPr>
              <w:t xml:space="preserve"> </w:t>
            </w:r>
            <w:r w:rsidRPr="00E00AEB">
              <w:rPr>
                <w:rFonts w:asciiTheme="minorHAnsi" w:hAnsiTheme="minorHAnsi" w:cstheme="minorHAnsi"/>
                <w:b/>
              </w:rPr>
              <w:t>staff</w:t>
            </w:r>
            <w:r w:rsidRPr="00E00AEB">
              <w:rPr>
                <w:rFonts w:asciiTheme="minorHAnsi" w:hAnsiTheme="minorHAnsi" w:cstheme="minorHAnsi"/>
                <w:b/>
                <w:spacing w:val="-5"/>
              </w:rPr>
              <w:t xml:space="preserve"> </w:t>
            </w:r>
            <w:r w:rsidRPr="00E00AEB">
              <w:rPr>
                <w:rFonts w:asciiTheme="minorHAnsi" w:hAnsiTheme="minorHAnsi" w:cstheme="minorHAnsi"/>
                <w:b/>
              </w:rPr>
              <w:t>and</w:t>
            </w:r>
            <w:r w:rsidRPr="00E00AEB">
              <w:rPr>
                <w:rFonts w:asciiTheme="minorHAnsi" w:hAnsiTheme="minorHAnsi" w:cstheme="minorHAnsi"/>
                <w:b/>
                <w:spacing w:val="-4"/>
              </w:rPr>
              <w:t xml:space="preserve"> </w:t>
            </w:r>
            <w:r w:rsidRPr="00E00AEB">
              <w:rPr>
                <w:rFonts w:asciiTheme="minorHAnsi" w:hAnsiTheme="minorHAnsi" w:cstheme="minorHAnsi"/>
                <w:b/>
              </w:rPr>
              <w:t>students</w:t>
            </w:r>
            <w:r w:rsidRPr="00E00AEB">
              <w:rPr>
                <w:rFonts w:asciiTheme="minorHAnsi" w:hAnsiTheme="minorHAnsi" w:cstheme="minorHAnsi"/>
                <w:b/>
                <w:spacing w:val="-4"/>
              </w:rPr>
              <w:t xml:space="preserve"> </w:t>
            </w:r>
            <w:r w:rsidRPr="00E00AEB">
              <w:rPr>
                <w:rFonts w:asciiTheme="minorHAnsi" w:hAnsiTheme="minorHAnsi" w:cstheme="minorHAnsi"/>
                <w:b/>
              </w:rPr>
              <w:t>of University of Nigeria Nsukka as well as</w:t>
            </w:r>
            <w:r w:rsidRPr="00E00AEB">
              <w:rPr>
                <w:rFonts w:asciiTheme="minorHAnsi" w:hAnsiTheme="minorHAnsi" w:cstheme="minorHAnsi"/>
                <w:b/>
                <w:spacing w:val="-8"/>
              </w:rPr>
              <w:t xml:space="preserve"> </w:t>
            </w:r>
            <w:r w:rsidRPr="00E00AEB">
              <w:rPr>
                <w:rFonts w:asciiTheme="minorHAnsi" w:hAnsiTheme="minorHAnsi" w:cstheme="minorHAnsi"/>
                <w:b/>
              </w:rPr>
              <w:t>their</w:t>
            </w:r>
            <w:r w:rsidRPr="00E00AEB">
              <w:rPr>
                <w:rFonts w:asciiTheme="minorHAnsi" w:hAnsiTheme="minorHAnsi" w:cstheme="minorHAnsi"/>
                <w:b/>
                <w:spacing w:val="-10"/>
              </w:rPr>
              <w:t xml:space="preserve"> </w:t>
            </w:r>
            <w:r w:rsidRPr="00E00AEB">
              <w:rPr>
                <w:rFonts w:asciiTheme="minorHAnsi" w:hAnsiTheme="minorHAnsi" w:cstheme="minorHAnsi"/>
                <w:b/>
              </w:rPr>
              <w:t>partners</w:t>
            </w:r>
            <w:r w:rsidRPr="00E00AEB">
              <w:rPr>
                <w:rFonts w:asciiTheme="minorHAnsi" w:hAnsiTheme="minorHAnsi" w:cstheme="minorHAnsi"/>
                <w:b/>
                <w:spacing w:val="-7"/>
              </w:rPr>
              <w:t xml:space="preserve"> </w:t>
            </w:r>
            <w:r w:rsidRPr="00E00AEB">
              <w:rPr>
                <w:rFonts w:asciiTheme="minorHAnsi" w:hAnsiTheme="minorHAnsi" w:cstheme="minorHAnsi"/>
                <w:b/>
              </w:rPr>
              <w:t>(JAMB,</w:t>
            </w:r>
            <w:r w:rsidRPr="00E00AEB">
              <w:rPr>
                <w:rFonts w:asciiTheme="minorHAnsi" w:hAnsiTheme="minorHAnsi" w:cstheme="minorHAnsi"/>
                <w:b/>
                <w:spacing w:val="-9"/>
              </w:rPr>
              <w:t xml:space="preserve"> </w:t>
            </w:r>
            <w:r w:rsidRPr="00E00AEB">
              <w:rPr>
                <w:rFonts w:asciiTheme="minorHAnsi" w:hAnsiTheme="minorHAnsi" w:cstheme="minorHAnsi"/>
                <w:b/>
              </w:rPr>
              <w:t>ALUMINI, FGN and local and International</w:t>
            </w:r>
          </w:p>
          <w:p w14:paraId="121AE4A3" w14:textId="77777777" w:rsidR="00B420D4" w:rsidRPr="00E00AEB" w:rsidRDefault="00B420D4" w:rsidP="00861CC4">
            <w:pPr>
              <w:pStyle w:val="TableParagraph"/>
              <w:spacing w:line="274" w:lineRule="exact"/>
              <w:ind w:left="126" w:right="6"/>
              <w:jc w:val="center"/>
              <w:rPr>
                <w:rFonts w:asciiTheme="minorHAnsi" w:hAnsiTheme="minorHAnsi" w:cstheme="minorHAnsi"/>
                <w:b/>
              </w:rPr>
            </w:pPr>
            <w:r w:rsidRPr="00E00AEB">
              <w:rPr>
                <w:rFonts w:asciiTheme="minorHAnsi" w:hAnsiTheme="minorHAnsi" w:cstheme="minorHAnsi"/>
                <w:b/>
                <w:spacing w:val="-2"/>
              </w:rPr>
              <w:t>collaborators)</w:t>
            </w:r>
          </w:p>
        </w:tc>
      </w:tr>
    </w:tbl>
    <w:p w14:paraId="26E0A6F8" w14:textId="77777777" w:rsidR="00B420D4" w:rsidRPr="00E00AEB" w:rsidRDefault="00B420D4" w:rsidP="00B420D4">
      <w:pPr>
        <w:rPr>
          <w:rFonts w:cstheme="minorHAnsi"/>
        </w:rPr>
      </w:pPr>
    </w:p>
    <w:p w14:paraId="13723025" w14:textId="77777777" w:rsidR="00B420D4" w:rsidRPr="00E00AEB" w:rsidRDefault="00B420D4" w:rsidP="00B420D4">
      <w:pPr>
        <w:rPr>
          <w:rFonts w:cstheme="minorHAnsi"/>
        </w:rPr>
      </w:pPr>
    </w:p>
    <w:p w14:paraId="1EADA9D3" w14:textId="77777777" w:rsidR="00B420D4" w:rsidRPr="00E00AEB" w:rsidRDefault="00B420D4" w:rsidP="00B420D4">
      <w:pPr>
        <w:rPr>
          <w:rFonts w:cstheme="minorHAnsi"/>
        </w:rPr>
      </w:pPr>
    </w:p>
    <w:p w14:paraId="0758C7D7" w14:textId="1D7D53ED" w:rsidR="00B420D4" w:rsidRDefault="00B420D4" w:rsidP="00B420D4">
      <w:pPr>
        <w:rPr>
          <w:rFonts w:cstheme="minorHAnsi"/>
        </w:rPr>
      </w:pPr>
    </w:p>
    <w:p w14:paraId="6C096205" w14:textId="3F023920" w:rsidR="00B420D4" w:rsidRDefault="00B420D4" w:rsidP="00B420D4">
      <w:pPr>
        <w:rPr>
          <w:rFonts w:cstheme="minorHAnsi"/>
        </w:rPr>
      </w:pPr>
    </w:p>
    <w:p w14:paraId="53565C43" w14:textId="331E55CD" w:rsidR="00B420D4" w:rsidRDefault="00B420D4" w:rsidP="00B420D4">
      <w:pPr>
        <w:rPr>
          <w:rFonts w:cstheme="minorHAnsi"/>
        </w:rPr>
      </w:pPr>
    </w:p>
    <w:p w14:paraId="2DCE5CAF" w14:textId="60C67CCA" w:rsidR="00B420D4" w:rsidRDefault="00B420D4" w:rsidP="00B420D4">
      <w:pPr>
        <w:rPr>
          <w:rFonts w:cstheme="minorHAnsi"/>
        </w:rPr>
      </w:pPr>
    </w:p>
    <w:p w14:paraId="39AE3BB5" w14:textId="77777777" w:rsidR="00B420D4" w:rsidRPr="00E00AEB" w:rsidRDefault="00B420D4" w:rsidP="00B420D4">
      <w:pPr>
        <w:rPr>
          <w:rFonts w:cstheme="minorHAnsi"/>
        </w:rPr>
      </w:pPr>
    </w:p>
    <w:p w14:paraId="73F741D1" w14:textId="77777777" w:rsidR="00B420D4" w:rsidRPr="00E00AEB" w:rsidRDefault="00B420D4" w:rsidP="00B420D4">
      <w:pPr>
        <w:rPr>
          <w:rFonts w:cstheme="minorHAnsi"/>
        </w:rPr>
      </w:pPr>
    </w:p>
    <w:sdt>
      <w:sdtPr>
        <w:rPr>
          <w:rFonts w:asciiTheme="minorHAnsi" w:eastAsiaTheme="minorHAnsi" w:hAnsiTheme="minorHAnsi" w:cstheme="minorBidi"/>
          <w:color w:val="auto"/>
          <w:sz w:val="22"/>
          <w:szCs w:val="22"/>
        </w:rPr>
        <w:id w:val="-463577487"/>
        <w:docPartObj>
          <w:docPartGallery w:val="Table of Contents"/>
          <w:docPartUnique/>
        </w:docPartObj>
      </w:sdtPr>
      <w:sdtEndPr>
        <w:rPr>
          <w:b/>
          <w:bCs/>
          <w:noProof/>
        </w:rPr>
      </w:sdtEndPr>
      <w:sdtContent>
        <w:p w14:paraId="4D0EDD37" w14:textId="3FBA893D" w:rsidR="00B420D4" w:rsidRDefault="00B420D4">
          <w:pPr>
            <w:pStyle w:val="TOCHeading"/>
          </w:pPr>
          <w:r>
            <w:t>Contents</w:t>
          </w:r>
        </w:p>
        <w:p w14:paraId="3B4A923B" w14:textId="7B91273F" w:rsidR="00D14F70" w:rsidRDefault="00B420D4">
          <w:pPr>
            <w:pStyle w:val="TOC1"/>
            <w:tabs>
              <w:tab w:val="right" w:leader="dot" w:pos="9350"/>
            </w:tabs>
            <w:rPr>
              <w:rFonts w:cstheme="minorBidi"/>
              <w:noProof/>
            </w:rPr>
          </w:pPr>
          <w:r>
            <w:fldChar w:fldCharType="begin"/>
          </w:r>
          <w:r>
            <w:instrText xml:space="preserve"> TOC \o "1-3" \h \z \u </w:instrText>
          </w:r>
          <w:r>
            <w:fldChar w:fldCharType="separate"/>
          </w:r>
          <w:hyperlink w:anchor="_Toc181229305" w:history="1">
            <w:r w:rsidR="00D14F70" w:rsidRPr="00AD52D9">
              <w:rPr>
                <w:rStyle w:val="Hyperlink"/>
                <w:rFonts w:eastAsia="Times New Roman"/>
                <w:noProof/>
              </w:rPr>
              <w:t xml:space="preserve">1. Purpose and </w:t>
            </w:r>
            <w:r w:rsidR="00D14F70" w:rsidRPr="00AD52D9">
              <w:rPr>
                <w:rStyle w:val="Hyperlink"/>
                <w:noProof/>
              </w:rPr>
              <w:t>Objectives</w:t>
            </w:r>
            <w:r w:rsidR="00D14F70">
              <w:rPr>
                <w:noProof/>
                <w:webHidden/>
              </w:rPr>
              <w:tab/>
            </w:r>
            <w:r w:rsidR="00D14F70">
              <w:rPr>
                <w:noProof/>
                <w:webHidden/>
              </w:rPr>
              <w:fldChar w:fldCharType="begin"/>
            </w:r>
            <w:r w:rsidR="00D14F70">
              <w:rPr>
                <w:noProof/>
                <w:webHidden/>
              </w:rPr>
              <w:instrText xml:space="preserve"> PAGEREF _Toc181229305 \h </w:instrText>
            </w:r>
            <w:r w:rsidR="00D14F70">
              <w:rPr>
                <w:noProof/>
                <w:webHidden/>
              </w:rPr>
            </w:r>
            <w:r w:rsidR="00D14F70">
              <w:rPr>
                <w:noProof/>
                <w:webHidden/>
              </w:rPr>
              <w:fldChar w:fldCharType="separate"/>
            </w:r>
            <w:r w:rsidR="00D14F70">
              <w:rPr>
                <w:noProof/>
                <w:webHidden/>
              </w:rPr>
              <w:t>2</w:t>
            </w:r>
            <w:r w:rsidR="00D14F70">
              <w:rPr>
                <w:noProof/>
                <w:webHidden/>
              </w:rPr>
              <w:fldChar w:fldCharType="end"/>
            </w:r>
          </w:hyperlink>
        </w:p>
        <w:p w14:paraId="36D8AAB7" w14:textId="23C3D778" w:rsidR="00D14F70" w:rsidRDefault="00000000">
          <w:pPr>
            <w:pStyle w:val="TOC1"/>
            <w:tabs>
              <w:tab w:val="right" w:leader="dot" w:pos="9350"/>
            </w:tabs>
            <w:rPr>
              <w:rFonts w:cstheme="minorBidi"/>
              <w:noProof/>
            </w:rPr>
          </w:pPr>
          <w:hyperlink w:anchor="_Toc181229306" w:history="1">
            <w:r w:rsidR="00D14F70" w:rsidRPr="00AD52D9">
              <w:rPr>
                <w:rStyle w:val="Hyperlink"/>
                <w:rFonts w:eastAsia="Times New Roman"/>
                <w:noProof/>
              </w:rPr>
              <w:t>2. Scope</w:t>
            </w:r>
            <w:r w:rsidR="00D14F70">
              <w:rPr>
                <w:noProof/>
                <w:webHidden/>
              </w:rPr>
              <w:tab/>
            </w:r>
            <w:r w:rsidR="00D14F70">
              <w:rPr>
                <w:noProof/>
                <w:webHidden/>
              </w:rPr>
              <w:fldChar w:fldCharType="begin"/>
            </w:r>
            <w:r w:rsidR="00D14F70">
              <w:rPr>
                <w:noProof/>
                <w:webHidden/>
              </w:rPr>
              <w:instrText xml:space="preserve"> PAGEREF _Toc181229306 \h </w:instrText>
            </w:r>
            <w:r w:rsidR="00D14F70">
              <w:rPr>
                <w:noProof/>
                <w:webHidden/>
              </w:rPr>
            </w:r>
            <w:r w:rsidR="00D14F70">
              <w:rPr>
                <w:noProof/>
                <w:webHidden/>
              </w:rPr>
              <w:fldChar w:fldCharType="separate"/>
            </w:r>
            <w:r w:rsidR="00D14F70">
              <w:rPr>
                <w:noProof/>
                <w:webHidden/>
              </w:rPr>
              <w:t>3</w:t>
            </w:r>
            <w:r w:rsidR="00D14F70">
              <w:rPr>
                <w:noProof/>
                <w:webHidden/>
              </w:rPr>
              <w:fldChar w:fldCharType="end"/>
            </w:r>
          </w:hyperlink>
        </w:p>
        <w:p w14:paraId="3119FAAF" w14:textId="0DA17EE6" w:rsidR="00D14F70" w:rsidRDefault="00000000">
          <w:pPr>
            <w:pStyle w:val="TOC1"/>
            <w:tabs>
              <w:tab w:val="right" w:leader="dot" w:pos="9350"/>
            </w:tabs>
            <w:rPr>
              <w:rFonts w:cstheme="minorBidi"/>
              <w:noProof/>
            </w:rPr>
          </w:pPr>
          <w:hyperlink w:anchor="_Toc181229307" w:history="1">
            <w:r w:rsidR="00D14F70" w:rsidRPr="00AD52D9">
              <w:rPr>
                <w:rStyle w:val="Hyperlink"/>
                <w:rFonts w:eastAsia="Times New Roman"/>
                <w:noProof/>
              </w:rPr>
              <w:t>3. Key Principles</w:t>
            </w:r>
            <w:r w:rsidR="00D14F70">
              <w:rPr>
                <w:noProof/>
                <w:webHidden/>
              </w:rPr>
              <w:tab/>
            </w:r>
            <w:r w:rsidR="00D14F70">
              <w:rPr>
                <w:noProof/>
                <w:webHidden/>
              </w:rPr>
              <w:fldChar w:fldCharType="begin"/>
            </w:r>
            <w:r w:rsidR="00D14F70">
              <w:rPr>
                <w:noProof/>
                <w:webHidden/>
              </w:rPr>
              <w:instrText xml:space="preserve"> PAGEREF _Toc181229307 \h </w:instrText>
            </w:r>
            <w:r w:rsidR="00D14F70">
              <w:rPr>
                <w:noProof/>
                <w:webHidden/>
              </w:rPr>
            </w:r>
            <w:r w:rsidR="00D14F70">
              <w:rPr>
                <w:noProof/>
                <w:webHidden/>
              </w:rPr>
              <w:fldChar w:fldCharType="separate"/>
            </w:r>
            <w:r w:rsidR="00D14F70">
              <w:rPr>
                <w:noProof/>
                <w:webHidden/>
              </w:rPr>
              <w:t>3</w:t>
            </w:r>
            <w:r w:rsidR="00D14F70">
              <w:rPr>
                <w:noProof/>
                <w:webHidden/>
              </w:rPr>
              <w:fldChar w:fldCharType="end"/>
            </w:r>
          </w:hyperlink>
        </w:p>
        <w:p w14:paraId="4CB2DAFF" w14:textId="76E6F53C" w:rsidR="00D14F70" w:rsidRDefault="00000000">
          <w:pPr>
            <w:pStyle w:val="TOC1"/>
            <w:tabs>
              <w:tab w:val="right" w:leader="dot" w:pos="9350"/>
            </w:tabs>
            <w:rPr>
              <w:rFonts w:cstheme="minorBidi"/>
              <w:noProof/>
            </w:rPr>
          </w:pPr>
          <w:hyperlink w:anchor="_Toc181229308" w:history="1">
            <w:r w:rsidR="00D14F70" w:rsidRPr="00AD52D9">
              <w:rPr>
                <w:rStyle w:val="Hyperlink"/>
                <w:rFonts w:eastAsia="Times New Roman"/>
                <w:noProof/>
              </w:rPr>
              <w:t>4. Policy Guidelines</w:t>
            </w:r>
            <w:r w:rsidR="00D14F70">
              <w:rPr>
                <w:noProof/>
                <w:webHidden/>
              </w:rPr>
              <w:tab/>
            </w:r>
            <w:r w:rsidR="00D14F70">
              <w:rPr>
                <w:noProof/>
                <w:webHidden/>
              </w:rPr>
              <w:fldChar w:fldCharType="begin"/>
            </w:r>
            <w:r w:rsidR="00D14F70">
              <w:rPr>
                <w:noProof/>
                <w:webHidden/>
              </w:rPr>
              <w:instrText xml:space="preserve"> PAGEREF _Toc181229308 \h </w:instrText>
            </w:r>
            <w:r w:rsidR="00D14F70">
              <w:rPr>
                <w:noProof/>
                <w:webHidden/>
              </w:rPr>
            </w:r>
            <w:r w:rsidR="00D14F70">
              <w:rPr>
                <w:noProof/>
                <w:webHidden/>
              </w:rPr>
              <w:fldChar w:fldCharType="separate"/>
            </w:r>
            <w:r w:rsidR="00D14F70">
              <w:rPr>
                <w:noProof/>
                <w:webHidden/>
              </w:rPr>
              <w:t>3</w:t>
            </w:r>
            <w:r w:rsidR="00D14F70">
              <w:rPr>
                <w:noProof/>
                <w:webHidden/>
              </w:rPr>
              <w:fldChar w:fldCharType="end"/>
            </w:r>
          </w:hyperlink>
        </w:p>
        <w:p w14:paraId="04885729" w14:textId="7F9D5AC0" w:rsidR="00D14F70" w:rsidRDefault="00000000">
          <w:pPr>
            <w:pStyle w:val="TOC2"/>
            <w:tabs>
              <w:tab w:val="right" w:leader="dot" w:pos="9350"/>
            </w:tabs>
            <w:rPr>
              <w:rFonts w:cstheme="minorBidi"/>
              <w:noProof/>
            </w:rPr>
          </w:pPr>
          <w:hyperlink w:anchor="_Toc181229309" w:history="1">
            <w:r w:rsidR="00D14F70" w:rsidRPr="00AD52D9">
              <w:rPr>
                <w:rStyle w:val="Hyperlink"/>
                <w:rFonts w:eastAsia="Times New Roman"/>
                <w:noProof/>
              </w:rPr>
              <w:t>4.1 Curriculum Design and Pedagogy</w:t>
            </w:r>
            <w:r w:rsidR="00D14F70">
              <w:rPr>
                <w:noProof/>
                <w:webHidden/>
              </w:rPr>
              <w:tab/>
            </w:r>
            <w:r w:rsidR="00D14F70">
              <w:rPr>
                <w:noProof/>
                <w:webHidden/>
              </w:rPr>
              <w:fldChar w:fldCharType="begin"/>
            </w:r>
            <w:r w:rsidR="00D14F70">
              <w:rPr>
                <w:noProof/>
                <w:webHidden/>
              </w:rPr>
              <w:instrText xml:space="preserve"> PAGEREF _Toc181229309 \h </w:instrText>
            </w:r>
            <w:r w:rsidR="00D14F70">
              <w:rPr>
                <w:noProof/>
                <w:webHidden/>
              </w:rPr>
            </w:r>
            <w:r w:rsidR="00D14F70">
              <w:rPr>
                <w:noProof/>
                <w:webHidden/>
              </w:rPr>
              <w:fldChar w:fldCharType="separate"/>
            </w:r>
            <w:r w:rsidR="00D14F70">
              <w:rPr>
                <w:noProof/>
                <w:webHidden/>
              </w:rPr>
              <w:t>3</w:t>
            </w:r>
            <w:r w:rsidR="00D14F70">
              <w:rPr>
                <w:noProof/>
                <w:webHidden/>
              </w:rPr>
              <w:fldChar w:fldCharType="end"/>
            </w:r>
          </w:hyperlink>
        </w:p>
        <w:p w14:paraId="7D84704B" w14:textId="7A5E2E04" w:rsidR="00D14F70" w:rsidRDefault="00000000">
          <w:pPr>
            <w:pStyle w:val="TOC2"/>
            <w:tabs>
              <w:tab w:val="right" w:leader="dot" w:pos="9350"/>
            </w:tabs>
            <w:rPr>
              <w:rFonts w:cstheme="minorBidi"/>
              <w:noProof/>
            </w:rPr>
          </w:pPr>
          <w:hyperlink w:anchor="_Toc181229310" w:history="1">
            <w:r w:rsidR="00D14F70" w:rsidRPr="00AD52D9">
              <w:rPr>
                <w:rStyle w:val="Hyperlink"/>
                <w:rFonts w:eastAsia="Times New Roman"/>
                <w:noProof/>
              </w:rPr>
              <w:t>4.2 Delivery of Teaching</w:t>
            </w:r>
            <w:r w:rsidR="00D14F70">
              <w:rPr>
                <w:noProof/>
                <w:webHidden/>
              </w:rPr>
              <w:tab/>
            </w:r>
            <w:r w:rsidR="00D14F70">
              <w:rPr>
                <w:noProof/>
                <w:webHidden/>
              </w:rPr>
              <w:fldChar w:fldCharType="begin"/>
            </w:r>
            <w:r w:rsidR="00D14F70">
              <w:rPr>
                <w:noProof/>
                <w:webHidden/>
              </w:rPr>
              <w:instrText xml:space="preserve"> PAGEREF _Toc181229310 \h </w:instrText>
            </w:r>
            <w:r w:rsidR="00D14F70">
              <w:rPr>
                <w:noProof/>
                <w:webHidden/>
              </w:rPr>
            </w:r>
            <w:r w:rsidR="00D14F70">
              <w:rPr>
                <w:noProof/>
                <w:webHidden/>
              </w:rPr>
              <w:fldChar w:fldCharType="separate"/>
            </w:r>
            <w:r w:rsidR="00D14F70">
              <w:rPr>
                <w:noProof/>
                <w:webHidden/>
              </w:rPr>
              <w:t>4</w:t>
            </w:r>
            <w:r w:rsidR="00D14F70">
              <w:rPr>
                <w:noProof/>
                <w:webHidden/>
              </w:rPr>
              <w:fldChar w:fldCharType="end"/>
            </w:r>
          </w:hyperlink>
        </w:p>
        <w:p w14:paraId="5CD4FA7C" w14:textId="3C897C9F" w:rsidR="00D14F70" w:rsidRDefault="00000000">
          <w:pPr>
            <w:pStyle w:val="TOC2"/>
            <w:tabs>
              <w:tab w:val="right" w:leader="dot" w:pos="9350"/>
            </w:tabs>
            <w:rPr>
              <w:rFonts w:cstheme="minorBidi"/>
              <w:noProof/>
            </w:rPr>
          </w:pPr>
          <w:hyperlink w:anchor="_Toc181229311" w:history="1">
            <w:r w:rsidR="00D14F70" w:rsidRPr="00AD52D9">
              <w:rPr>
                <w:rStyle w:val="Hyperlink"/>
                <w:rFonts w:eastAsia="Times New Roman"/>
                <w:noProof/>
              </w:rPr>
              <w:t>4.3 Assessment and Evaluation</w:t>
            </w:r>
            <w:r w:rsidR="00D14F70">
              <w:rPr>
                <w:noProof/>
                <w:webHidden/>
              </w:rPr>
              <w:tab/>
            </w:r>
            <w:r w:rsidR="00D14F70">
              <w:rPr>
                <w:noProof/>
                <w:webHidden/>
              </w:rPr>
              <w:fldChar w:fldCharType="begin"/>
            </w:r>
            <w:r w:rsidR="00D14F70">
              <w:rPr>
                <w:noProof/>
                <w:webHidden/>
              </w:rPr>
              <w:instrText xml:space="preserve"> PAGEREF _Toc181229311 \h </w:instrText>
            </w:r>
            <w:r w:rsidR="00D14F70">
              <w:rPr>
                <w:noProof/>
                <w:webHidden/>
              </w:rPr>
            </w:r>
            <w:r w:rsidR="00D14F70">
              <w:rPr>
                <w:noProof/>
                <w:webHidden/>
              </w:rPr>
              <w:fldChar w:fldCharType="separate"/>
            </w:r>
            <w:r w:rsidR="00D14F70">
              <w:rPr>
                <w:noProof/>
                <w:webHidden/>
              </w:rPr>
              <w:t>4</w:t>
            </w:r>
            <w:r w:rsidR="00D14F70">
              <w:rPr>
                <w:noProof/>
                <w:webHidden/>
              </w:rPr>
              <w:fldChar w:fldCharType="end"/>
            </w:r>
          </w:hyperlink>
        </w:p>
        <w:p w14:paraId="719A5005" w14:textId="118C05A0" w:rsidR="00D14F70" w:rsidRDefault="00000000">
          <w:pPr>
            <w:pStyle w:val="TOC1"/>
            <w:tabs>
              <w:tab w:val="right" w:leader="dot" w:pos="9350"/>
            </w:tabs>
            <w:rPr>
              <w:rFonts w:cstheme="minorBidi"/>
              <w:noProof/>
            </w:rPr>
          </w:pPr>
          <w:hyperlink w:anchor="_Toc181229312" w:history="1">
            <w:r w:rsidR="00D14F70" w:rsidRPr="00AD52D9">
              <w:rPr>
                <w:rStyle w:val="Hyperlink"/>
                <w:rFonts w:eastAsia="Times New Roman"/>
                <w:noProof/>
              </w:rPr>
              <w:t>5. Roles and Responsibilities</w:t>
            </w:r>
            <w:r w:rsidR="00D14F70">
              <w:rPr>
                <w:noProof/>
                <w:webHidden/>
              </w:rPr>
              <w:tab/>
            </w:r>
            <w:r w:rsidR="00D14F70">
              <w:rPr>
                <w:noProof/>
                <w:webHidden/>
              </w:rPr>
              <w:fldChar w:fldCharType="begin"/>
            </w:r>
            <w:r w:rsidR="00D14F70">
              <w:rPr>
                <w:noProof/>
                <w:webHidden/>
              </w:rPr>
              <w:instrText xml:space="preserve"> PAGEREF _Toc181229312 \h </w:instrText>
            </w:r>
            <w:r w:rsidR="00D14F70">
              <w:rPr>
                <w:noProof/>
                <w:webHidden/>
              </w:rPr>
            </w:r>
            <w:r w:rsidR="00D14F70">
              <w:rPr>
                <w:noProof/>
                <w:webHidden/>
              </w:rPr>
              <w:fldChar w:fldCharType="separate"/>
            </w:r>
            <w:r w:rsidR="00D14F70">
              <w:rPr>
                <w:noProof/>
                <w:webHidden/>
              </w:rPr>
              <w:t>4</w:t>
            </w:r>
            <w:r w:rsidR="00D14F70">
              <w:rPr>
                <w:noProof/>
                <w:webHidden/>
              </w:rPr>
              <w:fldChar w:fldCharType="end"/>
            </w:r>
          </w:hyperlink>
        </w:p>
        <w:p w14:paraId="47FCBC03" w14:textId="52AB6099" w:rsidR="00D14F70" w:rsidRDefault="00000000">
          <w:pPr>
            <w:pStyle w:val="TOC2"/>
            <w:tabs>
              <w:tab w:val="right" w:leader="dot" w:pos="9350"/>
            </w:tabs>
            <w:rPr>
              <w:rFonts w:cstheme="minorBidi"/>
              <w:noProof/>
            </w:rPr>
          </w:pPr>
          <w:hyperlink w:anchor="_Toc181229313" w:history="1">
            <w:r w:rsidR="00D14F70" w:rsidRPr="00AD52D9">
              <w:rPr>
                <w:rStyle w:val="Hyperlink"/>
                <w:rFonts w:eastAsia="Times New Roman"/>
                <w:noProof/>
              </w:rPr>
              <w:t>5.1 Teaching Staff</w:t>
            </w:r>
            <w:r w:rsidR="00D14F70">
              <w:rPr>
                <w:noProof/>
                <w:webHidden/>
              </w:rPr>
              <w:tab/>
            </w:r>
            <w:r w:rsidR="00D14F70">
              <w:rPr>
                <w:noProof/>
                <w:webHidden/>
              </w:rPr>
              <w:fldChar w:fldCharType="begin"/>
            </w:r>
            <w:r w:rsidR="00D14F70">
              <w:rPr>
                <w:noProof/>
                <w:webHidden/>
              </w:rPr>
              <w:instrText xml:space="preserve"> PAGEREF _Toc181229313 \h </w:instrText>
            </w:r>
            <w:r w:rsidR="00D14F70">
              <w:rPr>
                <w:noProof/>
                <w:webHidden/>
              </w:rPr>
            </w:r>
            <w:r w:rsidR="00D14F70">
              <w:rPr>
                <w:noProof/>
                <w:webHidden/>
              </w:rPr>
              <w:fldChar w:fldCharType="separate"/>
            </w:r>
            <w:r w:rsidR="00D14F70">
              <w:rPr>
                <w:noProof/>
                <w:webHidden/>
              </w:rPr>
              <w:t>4</w:t>
            </w:r>
            <w:r w:rsidR="00D14F70">
              <w:rPr>
                <w:noProof/>
                <w:webHidden/>
              </w:rPr>
              <w:fldChar w:fldCharType="end"/>
            </w:r>
          </w:hyperlink>
        </w:p>
        <w:p w14:paraId="45C5A405" w14:textId="51686665" w:rsidR="00D14F70" w:rsidRDefault="00000000">
          <w:pPr>
            <w:pStyle w:val="TOC2"/>
            <w:tabs>
              <w:tab w:val="right" w:leader="dot" w:pos="9350"/>
            </w:tabs>
            <w:rPr>
              <w:rFonts w:cstheme="minorBidi"/>
              <w:noProof/>
            </w:rPr>
          </w:pPr>
          <w:hyperlink w:anchor="_Toc181229314" w:history="1">
            <w:r w:rsidR="00D14F70" w:rsidRPr="00AD52D9">
              <w:rPr>
                <w:rStyle w:val="Hyperlink"/>
                <w:rFonts w:eastAsia="Times New Roman"/>
                <w:noProof/>
              </w:rPr>
              <w:t>5.2 Technical Staff</w:t>
            </w:r>
            <w:r w:rsidR="00D14F70">
              <w:rPr>
                <w:noProof/>
                <w:webHidden/>
              </w:rPr>
              <w:tab/>
            </w:r>
            <w:r w:rsidR="00D14F70">
              <w:rPr>
                <w:noProof/>
                <w:webHidden/>
              </w:rPr>
              <w:fldChar w:fldCharType="begin"/>
            </w:r>
            <w:r w:rsidR="00D14F70">
              <w:rPr>
                <w:noProof/>
                <w:webHidden/>
              </w:rPr>
              <w:instrText xml:space="preserve"> PAGEREF _Toc181229314 \h </w:instrText>
            </w:r>
            <w:r w:rsidR="00D14F70">
              <w:rPr>
                <w:noProof/>
                <w:webHidden/>
              </w:rPr>
            </w:r>
            <w:r w:rsidR="00D14F70">
              <w:rPr>
                <w:noProof/>
                <w:webHidden/>
              </w:rPr>
              <w:fldChar w:fldCharType="separate"/>
            </w:r>
            <w:r w:rsidR="00D14F70">
              <w:rPr>
                <w:noProof/>
                <w:webHidden/>
              </w:rPr>
              <w:t>5</w:t>
            </w:r>
            <w:r w:rsidR="00D14F70">
              <w:rPr>
                <w:noProof/>
                <w:webHidden/>
              </w:rPr>
              <w:fldChar w:fldCharType="end"/>
            </w:r>
          </w:hyperlink>
        </w:p>
        <w:p w14:paraId="4A3220FE" w14:textId="122C5F6A" w:rsidR="00D14F70" w:rsidRDefault="00000000">
          <w:pPr>
            <w:pStyle w:val="TOC2"/>
            <w:tabs>
              <w:tab w:val="right" w:leader="dot" w:pos="9350"/>
            </w:tabs>
            <w:rPr>
              <w:rFonts w:cstheme="minorBidi"/>
              <w:noProof/>
            </w:rPr>
          </w:pPr>
          <w:hyperlink w:anchor="_Toc181229315" w:history="1">
            <w:r w:rsidR="00D14F70" w:rsidRPr="00AD52D9">
              <w:rPr>
                <w:rStyle w:val="Hyperlink"/>
                <w:rFonts w:eastAsia="Times New Roman"/>
                <w:noProof/>
              </w:rPr>
              <w:t>5.3 Students</w:t>
            </w:r>
            <w:r w:rsidR="00D14F70">
              <w:rPr>
                <w:noProof/>
                <w:webHidden/>
              </w:rPr>
              <w:tab/>
            </w:r>
            <w:r w:rsidR="00D14F70">
              <w:rPr>
                <w:noProof/>
                <w:webHidden/>
              </w:rPr>
              <w:fldChar w:fldCharType="begin"/>
            </w:r>
            <w:r w:rsidR="00D14F70">
              <w:rPr>
                <w:noProof/>
                <w:webHidden/>
              </w:rPr>
              <w:instrText xml:space="preserve"> PAGEREF _Toc181229315 \h </w:instrText>
            </w:r>
            <w:r w:rsidR="00D14F70">
              <w:rPr>
                <w:noProof/>
                <w:webHidden/>
              </w:rPr>
            </w:r>
            <w:r w:rsidR="00D14F70">
              <w:rPr>
                <w:noProof/>
                <w:webHidden/>
              </w:rPr>
              <w:fldChar w:fldCharType="separate"/>
            </w:r>
            <w:r w:rsidR="00D14F70">
              <w:rPr>
                <w:noProof/>
                <w:webHidden/>
              </w:rPr>
              <w:t>5</w:t>
            </w:r>
            <w:r w:rsidR="00D14F70">
              <w:rPr>
                <w:noProof/>
                <w:webHidden/>
              </w:rPr>
              <w:fldChar w:fldCharType="end"/>
            </w:r>
          </w:hyperlink>
        </w:p>
        <w:p w14:paraId="00288D90" w14:textId="0C0965B5" w:rsidR="00D14F70" w:rsidRDefault="00000000">
          <w:pPr>
            <w:pStyle w:val="TOC2"/>
            <w:tabs>
              <w:tab w:val="right" w:leader="dot" w:pos="9350"/>
            </w:tabs>
            <w:rPr>
              <w:rFonts w:cstheme="minorBidi"/>
              <w:noProof/>
            </w:rPr>
          </w:pPr>
          <w:hyperlink w:anchor="_Toc181229316" w:history="1">
            <w:r w:rsidR="00D14F70" w:rsidRPr="00AD52D9">
              <w:rPr>
                <w:rStyle w:val="Hyperlink"/>
                <w:rFonts w:eastAsia="Times New Roman"/>
                <w:noProof/>
              </w:rPr>
              <w:t>5.4 Departmental Management</w:t>
            </w:r>
            <w:r w:rsidR="00D14F70">
              <w:rPr>
                <w:noProof/>
                <w:webHidden/>
              </w:rPr>
              <w:tab/>
            </w:r>
            <w:r w:rsidR="00D14F70">
              <w:rPr>
                <w:noProof/>
                <w:webHidden/>
              </w:rPr>
              <w:fldChar w:fldCharType="begin"/>
            </w:r>
            <w:r w:rsidR="00D14F70">
              <w:rPr>
                <w:noProof/>
                <w:webHidden/>
              </w:rPr>
              <w:instrText xml:space="preserve"> PAGEREF _Toc181229316 \h </w:instrText>
            </w:r>
            <w:r w:rsidR="00D14F70">
              <w:rPr>
                <w:noProof/>
                <w:webHidden/>
              </w:rPr>
            </w:r>
            <w:r w:rsidR="00D14F70">
              <w:rPr>
                <w:noProof/>
                <w:webHidden/>
              </w:rPr>
              <w:fldChar w:fldCharType="separate"/>
            </w:r>
            <w:r w:rsidR="00D14F70">
              <w:rPr>
                <w:noProof/>
                <w:webHidden/>
              </w:rPr>
              <w:t>5</w:t>
            </w:r>
            <w:r w:rsidR="00D14F70">
              <w:rPr>
                <w:noProof/>
                <w:webHidden/>
              </w:rPr>
              <w:fldChar w:fldCharType="end"/>
            </w:r>
          </w:hyperlink>
        </w:p>
        <w:p w14:paraId="2ECB8642" w14:textId="4AEDBBCE" w:rsidR="00D14F70" w:rsidRDefault="00000000">
          <w:pPr>
            <w:pStyle w:val="TOC2"/>
            <w:tabs>
              <w:tab w:val="right" w:leader="dot" w:pos="9350"/>
            </w:tabs>
            <w:rPr>
              <w:rFonts w:cstheme="minorBidi"/>
              <w:noProof/>
            </w:rPr>
          </w:pPr>
          <w:hyperlink w:anchor="_Toc181229317" w:history="1">
            <w:r w:rsidR="00D14F70" w:rsidRPr="00AD52D9">
              <w:rPr>
                <w:rStyle w:val="Hyperlink"/>
                <w:rFonts w:eastAsia="Times New Roman"/>
                <w:noProof/>
              </w:rPr>
              <w:t>5.5 Faculty-Level Management</w:t>
            </w:r>
            <w:r w:rsidR="00D14F70">
              <w:rPr>
                <w:noProof/>
                <w:webHidden/>
              </w:rPr>
              <w:tab/>
            </w:r>
            <w:r w:rsidR="00D14F70">
              <w:rPr>
                <w:noProof/>
                <w:webHidden/>
              </w:rPr>
              <w:fldChar w:fldCharType="begin"/>
            </w:r>
            <w:r w:rsidR="00D14F70">
              <w:rPr>
                <w:noProof/>
                <w:webHidden/>
              </w:rPr>
              <w:instrText xml:space="preserve"> PAGEREF _Toc181229317 \h </w:instrText>
            </w:r>
            <w:r w:rsidR="00D14F70">
              <w:rPr>
                <w:noProof/>
                <w:webHidden/>
              </w:rPr>
            </w:r>
            <w:r w:rsidR="00D14F70">
              <w:rPr>
                <w:noProof/>
                <w:webHidden/>
              </w:rPr>
              <w:fldChar w:fldCharType="separate"/>
            </w:r>
            <w:r w:rsidR="00D14F70">
              <w:rPr>
                <w:noProof/>
                <w:webHidden/>
              </w:rPr>
              <w:t>5</w:t>
            </w:r>
            <w:r w:rsidR="00D14F70">
              <w:rPr>
                <w:noProof/>
                <w:webHidden/>
              </w:rPr>
              <w:fldChar w:fldCharType="end"/>
            </w:r>
          </w:hyperlink>
        </w:p>
        <w:p w14:paraId="50EA6D9D" w14:textId="7D5A7075" w:rsidR="00D14F70" w:rsidRDefault="00000000">
          <w:pPr>
            <w:pStyle w:val="TOC2"/>
            <w:tabs>
              <w:tab w:val="right" w:leader="dot" w:pos="9350"/>
            </w:tabs>
            <w:rPr>
              <w:rFonts w:cstheme="minorBidi"/>
              <w:noProof/>
            </w:rPr>
          </w:pPr>
          <w:hyperlink w:anchor="_Toc181229318" w:history="1">
            <w:r w:rsidR="00D14F70" w:rsidRPr="00AD52D9">
              <w:rPr>
                <w:rStyle w:val="Hyperlink"/>
                <w:rFonts w:eastAsia="Times New Roman"/>
                <w:noProof/>
              </w:rPr>
              <w:t>5.6 University-Level Management</w:t>
            </w:r>
            <w:r w:rsidR="00D14F70">
              <w:rPr>
                <w:noProof/>
                <w:webHidden/>
              </w:rPr>
              <w:tab/>
            </w:r>
            <w:r w:rsidR="00D14F70">
              <w:rPr>
                <w:noProof/>
                <w:webHidden/>
              </w:rPr>
              <w:fldChar w:fldCharType="begin"/>
            </w:r>
            <w:r w:rsidR="00D14F70">
              <w:rPr>
                <w:noProof/>
                <w:webHidden/>
              </w:rPr>
              <w:instrText xml:space="preserve"> PAGEREF _Toc181229318 \h </w:instrText>
            </w:r>
            <w:r w:rsidR="00D14F70">
              <w:rPr>
                <w:noProof/>
                <w:webHidden/>
              </w:rPr>
            </w:r>
            <w:r w:rsidR="00D14F70">
              <w:rPr>
                <w:noProof/>
                <w:webHidden/>
              </w:rPr>
              <w:fldChar w:fldCharType="separate"/>
            </w:r>
            <w:r w:rsidR="00D14F70">
              <w:rPr>
                <w:noProof/>
                <w:webHidden/>
              </w:rPr>
              <w:t>6</w:t>
            </w:r>
            <w:r w:rsidR="00D14F70">
              <w:rPr>
                <w:noProof/>
                <w:webHidden/>
              </w:rPr>
              <w:fldChar w:fldCharType="end"/>
            </w:r>
          </w:hyperlink>
        </w:p>
        <w:p w14:paraId="4C7C0DE1" w14:textId="44CDE1D2" w:rsidR="00D14F70" w:rsidRDefault="00000000">
          <w:pPr>
            <w:pStyle w:val="TOC1"/>
            <w:tabs>
              <w:tab w:val="right" w:leader="dot" w:pos="9350"/>
            </w:tabs>
            <w:rPr>
              <w:rFonts w:cstheme="minorBidi"/>
              <w:noProof/>
            </w:rPr>
          </w:pPr>
          <w:hyperlink w:anchor="_Toc181229319" w:history="1">
            <w:r w:rsidR="00D14F70" w:rsidRPr="00AD52D9">
              <w:rPr>
                <w:rStyle w:val="Hyperlink"/>
                <w:rFonts w:eastAsia="Times New Roman"/>
                <w:noProof/>
              </w:rPr>
              <w:t>6. Monitoring and Evaluation</w:t>
            </w:r>
            <w:r w:rsidR="00D14F70">
              <w:rPr>
                <w:noProof/>
                <w:webHidden/>
              </w:rPr>
              <w:tab/>
            </w:r>
            <w:r w:rsidR="00D14F70">
              <w:rPr>
                <w:noProof/>
                <w:webHidden/>
              </w:rPr>
              <w:fldChar w:fldCharType="begin"/>
            </w:r>
            <w:r w:rsidR="00D14F70">
              <w:rPr>
                <w:noProof/>
                <w:webHidden/>
              </w:rPr>
              <w:instrText xml:space="preserve"> PAGEREF _Toc181229319 \h </w:instrText>
            </w:r>
            <w:r w:rsidR="00D14F70">
              <w:rPr>
                <w:noProof/>
                <w:webHidden/>
              </w:rPr>
            </w:r>
            <w:r w:rsidR="00D14F70">
              <w:rPr>
                <w:noProof/>
                <w:webHidden/>
              </w:rPr>
              <w:fldChar w:fldCharType="separate"/>
            </w:r>
            <w:r w:rsidR="00D14F70">
              <w:rPr>
                <w:noProof/>
                <w:webHidden/>
              </w:rPr>
              <w:t>6</w:t>
            </w:r>
            <w:r w:rsidR="00D14F70">
              <w:rPr>
                <w:noProof/>
                <w:webHidden/>
              </w:rPr>
              <w:fldChar w:fldCharType="end"/>
            </w:r>
          </w:hyperlink>
        </w:p>
        <w:p w14:paraId="4E2D5584" w14:textId="7BC6FF60" w:rsidR="00D14F70" w:rsidRDefault="00000000">
          <w:pPr>
            <w:pStyle w:val="TOC1"/>
            <w:tabs>
              <w:tab w:val="right" w:leader="dot" w:pos="9350"/>
            </w:tabs>
            <w:rPr>
              <w:rFonts w:cstheme="minorBidi"/>
              <w:noProof/>
            </w:rPr>
          </w:pPr>
          <w:hyperlink w:anchor="_Toc181229320" w:history="1">
            <w:r w:rsidR="00D14F70" w:rsidRPr="00AD52D9">
              <w:rPr>
                <w:rStyle w:val="Hyperlink"/>
                <w:rFonts w:eastAsia="Times New Roman"/>
                <w:noProof/>
              </w:rPr>
              <w:t>7. Policy Review</w:t>
            </w:r>
            <w:r w:rsidR="00D14F70">
              <w:rPr>
                <w:noProof/>
                <w:webHidden/>
              </w:rPr>
              <w:tab/>
            </w:r>
            <w:r w:rsidR="00D14F70">
              <w:rPr>
                <w:noProof/>
                <w:webHidden/>
              </w:rPr>
              <w:fldChar w:fldCharType="begin"/>
            </w:r>
            <w:r w:rsidR="00D14F70">
              <w:rPr>
                <w:noProof/>
                <w:webHidden/>
              </w:rPr>
              <w:instrText xml:space="preserve"> PAGEREF _Toc181229320 \h </w:instrText>
            </w:r>
            <w:r w:rsidR="00D14F70">
              <w:rPr>
                <w:noProof/>
                <w:webHidden/>
              </w:rPr>
            </w:r>
            <w:r w:rsidR="00D14F70">
              <w:rPr>
                <w:noProof/>
                <w:webHidden/>
              </w:rPr>
              <w:fldChar w:fldCharType="separate"/>
            </w:r>
            <w:r w:rsidR="00D14F70">
              <w:rPr>
                <w:noProof/>
                <w:webHidden/>
              </w:rPr>
              <w:t>6</w:t>
            </w:r>
            <w:r w:rsidR="00D14F70">
              <w:rPr>
                <w:noProof/>
                <w:webHidden/>
              </w:rPr>
              <w:fldChar w:fldCharType="end"/>
            </w:r>
          </w:hyperlink>
        </w:p>
        <w:p w14:paraId="4E495C79" w14:textId="3C368E8E" w:rsidR="00B420D4" w:rsidRDefault="00B420D4">
          <w:r>
            <w:rPr>
              <w:b/>
              <w:bCs/>
              <w:noProof/>
            </w:rPr>
            <w:fldChar w:fldCharType="end"/>
          </w:r>
        </w:p>
      </w:sdtContent>
    </w:sdt>
    <w:p w14:paraId="5FFDCEDC" w14:textId="15C9302B" w:rsidR="00B420D4" w:rsidRDefault="00B420D4" w:rsidP="00D14F70"/>
    <w:p w14:paraId="62498DFA" w14:textId="1461E9D4" w:rsidR="00D14F70" w:rsidRDefault="00D14F70" w:rsidP="00D14F70"/>
    <w:p w14:paraId="0B542B0F" w14:textId="51AAF3C3" w:rsidR="00D14F70" w:rsidRDefault="00D14F70" w:rsidP="00D14F70"/>
    <w:p w14:paraId="26565A5B" w14:textId="3C05BDD3" w:rsidR="00D14F70" w:rsidRDefault="00D14F70" w:rsidP="00D14F70"/>
    <w:p w14:paraId="43501A13" w14:textId="7D3F4F22" w:rsidR="00D14F70" w:rsidRDefault="00D14F70" w:rsidP="00D14F70"/>
    <w:p w14:paraId="00CBCEC8" w14:textId="69977D60" w:rsidR="00D14F70" w:rsidRDefault="00D14F70" w:rsidP="00D14F70"/>
    <w:p w14:paraId="73B1A90C" w14:textId="27922C42" w:rsidR="00D14F70" w:rsidRDefault="00D14F70" w:rsidP="00D14F70"/>
    <w:p w14:paraId="2DB898EC" w14:textId="57599BAB" w:rsidR="00D14F70" w:rsidRDefault="00D14F70" w:rsidP="00D14F70"/>
    <w:p w14:paraId="23B5C657" w14:textId="450D614F" w:rsidR="00D14F70" w:rsidRDefault="00D14F70" w:rsidP="00D14F70"/>
    <w:p w14:paraId="2D5AE79F" w14:textId="7EB8EF46" w:rsidR="00D14F70" w:rsidRDefault="00D14F70" w:rsidP="00D14F70"/>
    <w:p w14:paraId="17C04C4A" w14:textId="486F9CE5" w:rsidR="00D14F70" w:rsidRDefault="00D14F70" w:rsidP="00D14F70"/>
    <w:p w14:paraId="7CE2D5C1" w14:textId="62233B2E" w:rsidR="00D14F70" w:rsidRDefault="00D14F70" w:rsidP="00D14F70"/>
    <w:p w14:paraId="2078222A" w14:textId="77777777" w:rsidR="00D14F70" w:rsidRPr="00D14F70" w:rsidRDefault="00D14F70" w:rsidP="00D14F70"/>
    <w:p w14:paraId="46578B60" w14:textId="5725CB87" w:rsidR="00D57667" w:rsidRPr="00D57667" w:rsidRDefault="00D57667" w:rsidP="00B420D4">
      <w:pPr>
        <w:pStyle w:val="Heading1"/>
        <w:rPr>
          <w:rFonts w:eastAsia="Times New Roman"/>
        </w:rPr>
      </w:pPr>
      <w:bookmarkStart w:id="0" w:name="_Toc181229305"/>
      <w:r w:rsidRPr="00D57667">
        <w:rPr>
          <w:rFonts w:eastAsia="Times New Roman"/>
        </w:rPr>
        <w:lastRenderedPageBreak/>
        <w:t xml:space="preserve">1. Purpose and </w:t>
      </w:r>
      <w:r w:rsidRPr="00B420D4">
        <w:t>Objectives</w:t>
      </w:r>
      <w:bookmarkEnd w:id="0"/>
    </w:p>
    <w:p w14:paraId="278AA995" w14:textId="070EB1A1" w:rsidR="00D57667" w:rsidRPr="00D57667" w:rsidRDefault="00D57667" w:rsidP="00D57667">
      <w:pPr>
        <w:spacing w:before="100" w:beforeAutospacing="1" w:after="100" w:afterAutospacing="1" w:line="240" w:lineRule="auto"/>
        <w:jc w:val="both"/>
        <w:rPr>
          <w:rFonts w:eastAsia="Times New Roman" w:cstheme="minorHAnsi"/>
          <w:sz w:val="24"/>
          <w:szCs w:val="24"/>
        </w:rPr>
      </w:pPr>
      <w:r w:rsidRPr="00D57667">
        <w:rPr>
          <w:rFonts w:eastAsia="Times New Roman" w:cstheme="minorHAnsi"/>
          <w:sz w:val="24"/>
          <w:szCs w:val="24"/>
        </w:rPr>
        <w:t xml:space="preserve">The purpose of this policy is to establish a comprehensive framework for the design and delivery of learning and teaching methods across </w:t>
      </w:r>
      <w:r>
        <w:rPr>
          <w:rFonts w:eastAsia="Times New Roman" w:cstheme="minorHAnsi"/>
          <w:sz w:val="24"/>
          <w:szCs w:val="24"/>
        </w:rPr>
        <w:t xml:space="preserve">the University of Nigeria. </w:t>
      </w:r>
      <w:r w:rsidRPr="00D57667">
        <w:rPr>
          <w:rFonts w:eastAsia="Times New Roman" w:cstheme="minorHAnsi"/>
          <w:sz w:val="24"/>
          <w:szCs w:val="24"/>
        </w:rPr>
        <w:t>This policy outlines the roles and responsibilities of teaching staff, technical staff, students, and university management at the department, faculty, and institutional levels in creating an inclusive, effective, and innovative learning environment. The policy aims to ensure that educational practices are student-centered, aligned with academic standards, and responsive to evolving educational needs.</w:t>
      </w:r>
    </w:p>
    <w:p w14:paraId="0D988C74" w14:textId="77777777" w:rsidR="00D57667" w:rsidRPr="00D57667" w:rsidRDefault="00D57667" w:rsidP="00D57667">
      <w:p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Objectives:</w:t>
      </w:r>
    </w:p>
    <w:p w14:paraId="3050F105" w14:textId="77777777" w:rsidR="00D57667" w:rsidRPr="00D57667" w:rsidRDefault="00D57667" w:rsidP="00D57667">
      <w:pPr>
        <w:numPr>
          <w:ilvl w:val="0"/>
          <w:numId w:val="1"/>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sz w:val="24"/>
          <w:szCs w:val="24"/>
        </w:rPr>
        <w:t>To provide clear guidelines for the development, implementation, and ongoing enhancement of teaching and learning practices.</w:t>
      </w:r>
    </w:p>
    <w:p w14:paraId="2C3B0D1B" w14:textId="77777777" w:rsidR="00D57667" w:rsidRPr="00D57667" w:rsidRDefault="00D57667" w:rsidP="00D57667">
      <w:pPr>
        <w:numPr>
          <w:ilvl w:val="0"/>
          <w:numId w:val="1"/>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sz w:val="24"/>
          <w:szCs w:val="24"/>
        </w:rPr>
        <w:t>To support a collaborative environment where teaching staff, technical staff, students, and management work together to achieve high-quality learning outcomes.</w:t>
      </w:r>
    </w:p>
    <w:p w14:paraId="707298CD" w14:textId="77777777" w:rsidR="00D57667" w:rsidRPr="00D57667" w:rsidRDefault="00D57667" w:rsidP="00D57667">
      <w:pPr>
        <w:numPr>
          <w:ilvl w:val="0"/>
          <w:numId w:val="1"/>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sz w:val="24"/>
          <w:szCs w:val="24"/>
        </w:rPr>
        <w:t>To encourage innovative and inclusive teaching practices that accommodate diverse learning needs and promote student engagement.</w:t>
      </w:r>
    </w:p>
    <w:p w14:paraId="775CE210" w14:textId="77777777" w:rsidR="00D57667" w:rsidRPr="00D57667" w:rsidRDefault="00D57667" w:rsidP="00D57667">
      <w:pPr>
        <w:numPr>
          <w:ilvl w:val="0"/>
          <w:numId w:val="1"/>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sz w:val="24"/>
          <w:szCs w:val="24"/>
        </w:rPr>
        <w:t>To outline the roles and responsibilities at various organizational levels to ensure accountability and consistency in delivering educational excellence.</w:t>
      </w:r>
    </w:p>
    <w:p w14:paraId="415967BD" w14:textId="49A79210" w:rsidR="00D57667" w:rsidRPr="00D57667" w:rsidRDefault="00D57667" w:rsidP="00D57667">
      <w:pPr>
        <w:spacing w:after="0" w:line="240" w:lineRule="auto"/>
        <w:jc w:val="both"/>
        <w:rPr>
          <w:rFonts w:eastAsia="Times New Roman" w:cstheme="minorHAnsi"/>
          <w:sz w:val="24"/>
          <w:szCs w:val="24"/>
        </w:rPr>
      </w:pPr>
    </w:p>
    <w:p w14:paraId="1DED951B" w14:textId="77777777" w:rsidR="00D57667" w:rsidRPr="00D57667" w:rsidRDefault="00D57667" w:rsidP="00D57667">
      <w:pPr>
        <w:pStyle w:val="Heading1"/>
        <w:rPr>
          <w:rFonts w:eastAsia="Times New Roman"/>
        </w:rPr>
      </w:pPr>
      <w:bookmarkStart w:id="1" w:name="_Toc181229306"/>
      <w:r w:rsidRPr="00D57667">
        <w:rPr>
          <w:rFonts w:eastAsia="Times New Roman"/>
        </w:rPr>
        <w:t>2. Scope</w:t>
      </w:r>
      <w:bookmarkEnd w:id="1"/>
    </w:p>
    <w:p w14:paraId="3E7DDF50" w14:textId="77777777" w:rsidR="00D57667" w:rsidRPr="00D57667" w:rsidRDefault="00D57667" w:rsidP="00D57667">
      <w:pPr>
        <w:spacing w:before="100" w:beforeAutospacing="1" w:after="100" w:afterAutospacing="1" w:line="240" w:lineRule="auto"/>
        <w:jc w:val="both"/>
        <w:rPr>
          <w:rFonts w:eastAsia="Times New Roman" w:cstheme="minorHAnsi"/>
          <w:sz w:val="24"/>
          <w:szCs w:val="24"/>
        </w:rPr>
      </w:pPr>
      <w:r w:rsidRPr="00D57667">
        <w:rPr>
          <w:rFonts w:eastAsia="Times New Roman" w:cstheme="minorHAnsi"/>
          <w:sz w:val="24"/>
          <w:szCs w:val="24"/>
        </w:rPr>
        <w:t>This policy applies to all teaching and technical staff, students, and management at the departmental, faculty, and university levels who are involved in teaching, learning, and academic support across undergraduate, postgraduate, and continuing education programs.</w:t>
      </w:r>
    </w:p>
    <w:p w14:paraId="7DECC3DF" w14:textId="59C12EC0" w:rsidR="00D57667" w:rsidRPr="00D57667" w:rsidRDefault="00D57667" w:rsidP="00D57667">
      <w:pPr>
        <w:spacing w:after="0" w:line="240" w:lineRule="auto"/>
        <w:jc w:val="both"/>
        <w:rPr>
          <w:rFonts w:eastAsia="Times New Roman" w:cstheme="minorHAnsi"/>
          <w:sz w:val="24"/>
          <w:szCs w:val="24"/>
        </w:rPr>
      </w:pPr>
    </w:p>
    <w:p w14:paraId="7F232A9C" w14:textId="77777777" w:rsidR="00D57667" w:rsidRPr="00D57667" w:rsidRDefault="00D57667" w:rsidP="00D57667">
      <w:pPr>
        <w:pStyle w:val="Heading1"/>
        <w:rPr>
          <w:rFonts w:eastAsia="Times New Roman"/>
        </w:rPr>
      </w:pPr>
      <w:bookmarkStart w:id="2" w:name="_Toc181229307"/>
      <w:r w:rsidRPr="00D57667">
        <w:rPr>
          <w:rFonts w:eastAsia="Times New Roman"/>
        </w:rPr>
        <w:t>3. Key Principles</w:t>
      </w:r>
      <w:bookmarkEnd w:id="2"/>
    </w:p>
    <w:p w14:paraId="03269265" w14:textId="77777777" w:rsidR="00D57667" w:rsidRPr="00D57667" w:rsidRDefault="00D57667" w:rsidP="00D57667">
      <w:pPr>
        <w:numPr>
          <w:ilvl w:val="0"/>
          <w:numId w:val="2"/>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Student-Centered Learning:</w:t>
      </w:r>
      <w:r w:rsidRPr="00D57667">
        <w:rPr>
          <w:rFonts w:eastAsia="Times New Roman" w:cstheme="minorHAnsi"/>
          <w:sz w:val="24"/>
          <w:szCs w:val="24"/>
        </w:rPr>
        <w:t xml:space="preserve"> Emphasize learning methods that place students at the center, promoting active engagement, critical thinking, and the acquisition of relevant skills.</w:t>
      </w:r>
    </w:p>
    <w:p w14:paraId="79CAD992" w14:textId="77777777" w:rsidR="00D57667" w:rsidRPr="00D57667" w:rsidRDefault="00D57667" w:rsidP="00D57667">
      <w:pPr>
        <w:numPr>
          <w:ilvl w:val="0"/>
          <w:numId w:val="2"/>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Inclusivity and Accessibility:</w:t>
      </w:r>
      <w:r w:rsidRPr="00D57667">
        <w:rPr>
          <w:rFonts w:eastAsia="Times New Roman" w:cstheme="minorHAnsi"/>
          <w:sz w:val="24"/>
          <w:szCs w:val="24"/>
        </w:rPr>
        <w:t xml:space="preserve"> Ensure that teaching and learning practices are inclusive, accessible, and respectful of diverse backgrounds, learning preferences, and abilities.</w:t>
      </w:r>
    </w:p>
    <w:p w14:paraId="7609AEAC" w14:textId="77777777" w:rsidR="00D57667" w:rsidRPr="00D57667" w:rsidRDefault="00D57667" w:rsidP="00D57667">
      <w:pPr>
        <w:numPr>
          <w:ilvl w:val="0"/>
          <w:numId w:val="2"/>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Collaborative Learning Environment:</w:t>
      </w:r>
      <w:r w:rsidRPr="00D57667">
        <w:rPr>
          <w:rFonts w:eastAsia="Times New Roman" w:cstheme="minorHAnsi"/>
          <w:sz w:val="24"/>
          <w:szCs w:val="24"/>
        </w:rPr>
        <w:t xml:space="preserve"> Foster a collaborative environment where teaching staff, technical staff, students, and management at all levels work together to create a supportive and dynamic learning space.</w:t>
      </w:r>
    </w:p>
    <w:p w14:paraId="6C7EFE55" w14:textId="77777777" w:rsidR="00D57667" w:rsidRPr="00D57667" w:rsidRDefault="00D57667" w:rsidP="00D57667">
      <w:pPr>
        <w:numPr>
          <w:ilvl w:val="0"/>
          <w:numId w:val="2"/>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Innovation in Teaching:</w:t>
      </w:r>
      <w:r w:rsidRPr="00D57667">
        <w:rPr>
          <w:rFonts w:eastAsia="Times New Roman" w:cstheme="minorHAnsi"/>
          <w:sz w:val="24"/>
          <w:szCs w:val="24"/>
        </w:rPr>
        <w:t xml:space="preserve"> Encourage adaptive teaching methods that incorporate educational technology, blended learning, and other innovative practices to enhance learning.</w:t>
      </w:r>
    </w:p>
    <w:p w14:paraId="5EEFFAD6" w14:textId="77777777" w:rsidR="00D57667" w:rsidRPr="00D57667" w:rsidRDefault="00D57667" w:rsidP="00D57667">
      <w:pPr>
        <w:numPr>
          <w:ilvl w:val="0"/>
          <w:numId w:val="2"/>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lastRenderedPageBreak/>
        <w:t>Accountability and Continuous Improvement:</w:t>
      </w:r>
      <w:r w:rsidRPr="00D57667">
        <w:rPr>
          <w:rFonts w:eastAsia="Times New Roman" w:cstheme="minorHAnsi"/>
          <w:sz w:val="24"/>
          <w:szCs w:val="24"/>
        </w:rPr>
        <w:t xml:space="preserve"> Support regular evaluation and feedback processes to ensure that teaching methods meet institutional goals and adapt to new educational standards and feedback from all stakeholders.</w:t>
      </w:r>
    </w:p>
    <w:p w14:paraId="3776DC9A" w14:textId="632B5D9B" w:rsidR="00D57667" w:rsidRPr="00D57667" w:rsidRDefault="00D57667" w:rsidP="00D57667">
      <w:pPr>
        <w:spacing w:after="0" w:line="240" w:lineRule="auto"/>
        <w:jc w:val="both"/>
        <w:rPr>
          <w:rFonts w:eastAsia="Times New Roman" w:cstheme="minorHAnsi"/>
          <w:sz w:val="24"/>
          <w:szCs w:val="24"/>
        </w:rPr>
      </w:pPr>
    </w:p>
    <w:p w14:paraId="65F9D942" w14:textId="77777777" w:rsidR="00D57667" w:rsidRPr="00D57667" w:rsidRDefault="00D57667" w:rsidP="00D57667">
      <w:pPr>
        <w:pStyle w:val="Heading1"/>
        <w:rPr>
          <w:rFonts w:eastAsia="Times New Roman"/>
        </w:rPr>
      </w:pPr>
      <w:bookmarkStart w:id="3" w:name="_Toc181229308"/>
      <w:r w:rsidRPr="00D57667">
        <w:rPr>
          <w:rFonts w:eastAsia="Times New Roman"/>
        </w:rPr>
        <w:t>4. Policy Guidelines</w:t>
      </w:r>
      <w:bookmarkEnd w:id="3"/>
    </w:p>
    <w:p w14:paraId="3D10A699" w14:textId="77777777" w:rsidR="00D57667" w:rsidRPr="00D57667" w:rsidRDefault="00D57667" w:rsidP="00D57667">
      <w:pPr>
        <w:pStyle w:val="Heading2"/>
        <w:rPr>
          <w:rFonts w:eastAsia="Times New Roman"/>
        </w:rPr>
      </w:pPr>
      <w:bookmarkStart w:id="4" w:name="_Toc181229309"/>
      <w:r w:rsidRPr="00D57667">
        <w:rPr>
          <w:rFonts w:eastAsia="Times New Roman"/>
        </w:rPr>
        <w:t>4.1 Curriculum Design and Pedagogy</w:t>
      </w:r>
      <w:bookmarkEnd w:id="4"/>
    </w:p>
    <w:p w14:paraId="42D40B75" w14:textId="77777777" w:rsidR="00D57667" w:rsidRPr="00D57667" w:rsidRDefault="00D57667" w:rsidP="00D57667">
      <w:pPr>
        <w:numPr>
          <w:ilvl w:val="0"/>
          <w:numId w:val="3"/>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Learning Outcomes:</w:t>
      </w:r>
      <w:r w:rsidRPr="00D57667">
        <w:rPr>
          <w:rFonts w:eastAsia="Times New Roman" w:cstheme="minorHAnsi"/>
          <w:sz w:val="24"/>
          <w:szCs w:val="24"/>
        </w:rPr>
        <w:t xml:space="preserve"> Clearly define learning outcomes that align with academic, departmental, and university-level goals and meet industry standards where applicable. Outcomes should be communicated to students at the start of each course.</w:t>
      </w:r>
    </w:p>
    <w:p w14:paraId="5BC8531B" w14:textId="77777777" w:rsidR="00D57667" w:rsidRPr="00D57667" w:rsidRDefault="00D57667" w:rsidP="00D57667">
      <w:pPr>
        <w:numPr>
          <w:ilvl w:val="0"/>
          <w:numId w:val="3"/>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Evidence-Based Teaching Methods:</w:t>
      </w:r>
      <w:r w:rsidRPr="00D57667">
        <w:rPr>
          <w:rFonts w:eastAsia="Times New Roman" w:cstheme="minorHAnsi"/>
          <w:sz w:val="24"/>
          <w:szCs w:val="24"/>
        </w:rPr>
        <w:t xml:space="preserve"> Adopt evidence-based pedagogical approaches, including active learning, flipped classrooms, and problem-based learning, to enhance understanding and student engagement.</w:t>
      </w:r>
    </w:p>
    <w:p w14:paraId="2F291737" w14:textId="77777777" w:rsidR="00D57667" w:rsidRPr="00D57667" w:rsidRDefault="00D57667" w:rsidP="00D57667">
      <w:pPr>
        <w:numPr>
          <w:ilvl w:val="0"/>
          <w:numId w:val="3"/>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Integration of Technology and Resources:</w:t>
      </w:r>
      <w:r w:rsidRPr="00D57667">
        <w:rPr>
          <w:rFonts w:eastAsia="Times New Roman" w:cstheme="minorHAnsi"/>
          <w:sz w:val="24"/>
          <w:szCs w:val="24"/>
        </w:rPr>
        <w:t xml:space="preserve"> Incorporate digital resources, such as Learning Management Systems (LMS), multimedia content, and interactive tools, to enhance the learning experience and accommodate various learning styles.</w:t>
      </w:r>
    </w:p>
    <w:p w14:paraId="566C5BBE" w14:textId="77777777" w:rsidR="00D57667" w:rsidRPr="00D57667" w:rsidRDefault="00D57667" w:rsidP="00D57667">
      <w:pPr>
        <w:pStyle w:val="Heading2"/>
        <w:rPr>
          <w:rFonts w:eastAsia="Times New Roman"/>
        </w:rPr>
      </w:pPr>
      <w:bookmarkStart w:id="5" w:name="_Toc181229310"/>
      <w:r w:rsidRPr="00D57667">
        <w:rPr>
          <w:rFonts w:eastAsia="Times New Roman"/>
        </w:rPr>
        <w:t>4.2 Delivery of Teaching</w:t>
      </w:r>
      <w:bookmarkEnd w:id="5"/>
    </w:p>
    <w:p w14:paraId="16085BCC" w14:textId="77777777" w:rsidR="00D57667" w:rsidRPr="00D57667" w:rsidRDefault="00D57667" w:rsidP="00D57667">
      <w:pPr>
        <w:numPr>
          <w:ilvl w:val="0"/>
          <w:numId w:val="4"/>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Varied Teaching Approaches:</w:t>
      </w:r>
      <w:r w:rsidRPr="00D57667">
        <w:rPr>
          <w:rFonts w:eastAsia="Times New Roman" w:cstheme="minorHAnsi"/>
          <w:sz w:val="24"/>
          <w:szCs w:val="24"/>
        </w:rPr>
        <w:t xml:space="preserve"> Teaching staff should use diverse instructional methods (e.g., lectures, workshops, lab sessions, seminars, group projects) to accommodate different learning preferences and foster comprehensive skill development.</w:t>
      </w:r>
    </w:p>
    <w:p w14:paraId="59B6576E" w14:textId="77777777" w:rsidR="00D57667" w:rsidRPr="00D57667" w:rsidRDefault="00D57667" w:rsidP="00D57667">
      <w:pPr>
        <w:numPr>
          <w:ilvl w:val="0"/>
          <w:numId w:val="4"/>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Student Feedback Mechanisms:</w:t>
      </w:r>
      <w:r w:rsidRPr="00D57667">
        <w:rPr>
          <w:rFonts w:eastAsia="Times New Roman" w:cstheme="minorHAnsi"/>
          <w:sz w:val="24"/>
          <w:szCs w:val="24"/>
        </w:rPr>
        <w:t xml:space="preserve"> Establish regular feedback mechanisms (e.g., mid-course surveys, focus groups, evaluations) to inform ongoing course improvements and foster an adaptive teaching environment.</w:t>
      </w:r>
    </w:p>
    <w:p w14:paraId="43450B40" w14:textId="77777777" w:rsidR="00D57667" w:rsidRPr="00D57667" w:rsidRDefault="00D57667" w:rsidP="00D57667">
      <w:pPr>
        <w:numPr>
          <w:ilvl w:val="0"/>
          <w:numId w:val="4"/>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Adaptive Learning Tools:</w:t>
      </w:r>
      <w:r w:rsidRPr="00D57667">
        <w:rPr>
          <w:rFonts w:eastAsia="Times New Roman" w:cstheme="minorHAnsi"/>
          <w:sz w:val="24"/>
          <w:szCs w:val="24"/>
        </w:rPr>
        <w:t xml:space="preserve"> Use adaptive learning tools that provide personalized feedback and support, helping students progress at an appropriate pace and receive tailored assistance where necessary.</w:t>
      </w:r>
    </w:p>
    <w:p w14:paraId="4ACD6C7E" w14:textId="77777777" w:rsidR="00D57667" w:rsidRPr="00D57667" w:rsidRDefault="00D57667" w:rsidP="00D57667">
      <w:pPr>
        <w:pStyle w:val="Heading2"/>
        <w:rPr>
          <w:rFonts w:eastAsia="Times New Roman"/>
        </w:rPr>
      </w:pPr>
      <w:bookmarkStart w:id="6" w:name="_Toc181229311"/>
      <w:r w:rsidRPr="00D57667">
        <w:rPr>
          <w:rFonts w:eastAsia="Times New Roman"/>
        </w:rPr>
        <w:t>4.3 Assessment and Evaluation</w:t>
      </w:r>
      <w:bookmarkEnd w:id="6"/>
    </w:p>
    <w:p w14:paraId="45C7FA3C" w14:textId="77777777" w:rsidR="00D57667" w:rsidRPr="00D57667" w:rsidRDefault="00D57667" w:rsidP="00D57667">
      <w:pPr>
        <w:numPr>
          <w:ilvl w:val="0"/>
          <w:numId w:val="5"/>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Alignment with Learning Outcomes:</w:t>
      </w:r>
      <w:r w:rsidRPr="00D57667">
        <w:rPr>
          <w:rFonts w:eastAsia="Times New Roman" w:cstheme="minorHAnsi"/>
          <w:sz w:val="24"/>
          <w:szCs w:val="24"/>
        </w:rPr>
        <w:t xml:space="preserve"> Design assessments that align with course learning outcomes, enabling students to demonstrate the knowledge and skills specified in course objectives.</w:t>
      </w:r>
    </w:p>
    <w:p w14:paraId="23D7AF2F" w14:textId="77777777" w:rsidR="00D57667" w:rsidRPr="00D57667" w:rsidRDefault="00D57667" w:rsidP="00D57667">
      <w:pPr>
        <w:numPr>
          <w:ilvl w:val="0"/>
          <w:numId w:val="5"/>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Balanced Formative and Summative Assessments:</w:t>
      </w:r>
      <w:r w:rsidRPr="00D57667">
        <w:rPr>
          <w:rFonts w:eastAsia="Times New Roman" w:cstheme="minorHAnsi"/>
          <w:sz w:val="24"/>
          <w:szCs w:val="24"/>
        </w:rPr>
        <w:t xml:space="preserve"> Ensure a balanced approach between formative (ongoing) and summative (final) assessments, providing students with continuous feedback and a final evaluation.</w:t>
      </w:r>
    </w:p>
    <w:p w14:paraId="24685A52" w14:textId="77777777" w:rsidR="00D57667" w:rsidRPr="00D57667" w:rsidRDefault="00D57667" w:rsidP="00D57667">
      <w:pPr>
        <w:numPr>
          <w:ilvl w:val="0"/>
          <w:numId w:val="5"/>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Self-Assessment and Reflection for Students:</w:t>
      </w:r>
      <w:r w:rsidRPr="00D57667">
        <w:rPr>
          <w:rFonts w:eastAsia="Times New Roman" w:cstheme="minorHAnsi"/>
          <w:sz w:val="24"/>
          <w:szCs w:val="24"/>
        </w:rPr>
        <w:t xml:space="preserve"> Encourage students to engage in self-assessment and reflection activities to foster self-awareness and personal responsibility for learning.</w:t>
      </w:r>
    </w:p>
    <w:p w14:paraId="525DB0C3" w14:textId="44AB2B84" w:rsidR="00D57667" w:rsidRPr="00D57667" w:rsidRDefault="00D57667" w:rsidP="00D57667">
      <w:pPr>
        <w:spacing w:after="0" w:line="240" w:lineRule="auto"/>
        <w:jc w:val="both"/>
        <w:rPr>
          <w:rFonts w:eastAsia="Times New Roman" w:cstheme="minorHAnsi"/>
          <w:sz w:val="24"/>
          <w:szCs w:val="24"/>
        </w:rPr>
      </w:pPr>
    </w:p>
    <w:p w14:paraId="6F5312C9" w14:textId="77777777" w:rsidR="00D57667" w:rsidRPr="00D57667" w:rsidRDefault="00D57667" w:rsidP="00D57667">
      <w:pPr>
        <w:pStyle w:val="Heading1"/>
        <w:rPr>
          <w:rFonts w:eastAsia="Times New Roman"/>
        </w:rPr>
      </w:pPr>
      <w:bookmarkStart w:id="7" w:name="_Toc181229312"/>
      <w:r w:rsidRPr="00D57667">
        <w:rPr>
          <w:rFonts w:eastAsia="Times New Roman"/>
        </w:rPr>
        <w:t>5. Roles and Responsibilities</w:t>
      </w:r>
      <w:bookmarkEnd w:id="7"/>
    </w:p>
    <w:p w14:paraId="6104A313" w14:textId="77777777" w:rsidR="00D57667" w:rsidRPr="00D57667" w:rsidRDefault="00D57667" w:rsidP="00D57667">
      <w:pPr>
        <w:pStyle w:val="Heading2"/>
        <w:rPr>
          <w:rFonts w:eastAsia="Times New Roman"/>
        </w:rPr>
      </w:pPr>
      <w:bookmarkStart w:id="8" w:name="_Toc181229313"/>
      <w:r w:rsidRPr="00D57667">
        <w:rPr>
          <w:rFonts w:eastAsia="Times New Roman"/>
        </w:rPr>
        <w:t>5.1 Teaching Staff</w:t>
      </w:r>
      <w:bookmarkEnd w:id="8"/>
    </w:p>
    <w:p w14:paraId="09F10C10" w14:textId="77777777" w:rsidR="00D57667" w:rsidRPr="00D57667" w:rsidRDefault="00D57667" w:rsidP="00D57667">
      <w:pPr>
        <w:numPr>
          <w:ilvl w:val="0"/>
          <w:numId w:val="6"/>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Instructional Design and Delivery:</w:t>
      </w:r>
      <w:r w:rsidRPr="00D57667">
        <w:rPr>
          <w:rFonts w:eastAsia="Times New Roman" w:cstheme="minorHAnsi"/>
          <w:sz w:val="24"/>
          <w:szCs w:val="24"/>
        </w:rPr>
        <w:t xml:space="preserve"> Develop engaging, inclusive, and flexible course content aligned with learning outcomes. Deliver content using a variety of methods to address different learning preferences.</w:t>
      </w:r>
    </w:p>
    <w:p w14:paraId="7F687476" w14:textId="77777777" w:rsidR="00D57667" w:rsidRPr="00D57667" w:rsidRDefault="00D57667" w:rsidP="00D57667">
      <w:pPr>
        <w:numPr>
          <w:ilvl w:val="0"/>
          <w:numId w:val="6"/>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Assessment and Feedback:</w:t>
      </w:r>
      <w:r w:rsidRPr="00D57667">
        <w:rPr>
          <w:rFonts w:eastAsia="Times New Roman" w:cstheme="minorHAnsi"/>
          <w:sz w:val="24"/>
          <w:szCs w:val="24"/>
        </w:rPr>
        <w:t xml:space="preserve"> Design assessments that provide constructive feedback and measure student progress in achieving course objectives.</w:t>
      </w:r>
    </w:p>
    <w:p w14:paraId="6548CAFA" w14:textId="77777777" w:rsidR="00D57667" w:rsidRPr="00D57667" w:rsidRDefault="00D57667" w:rsidP="00D57667">
      <w:pPr>
        <w:numPr>
          <w:ilvl w:val="0"/>
          <w:numId w:val="6"/>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Professional Development:</w:t>
      </w:r>
      <w:r w:rsidRPr="00D57667">
        <w:rPr>
          <w:rFonts w:eastAsia="Times New Roman" w:cstheme="minorHAnsi"/>
          <w:sz w:val="24"/>
          <w:szCs w:val="24"/>
        </w:rPr>
        <w:t xml:space="preserve"> Engage in ongoing professional development and peer reviews to refine teaching practices and stay current with educational trends and technology.</w:t>
      </w:r>
    </w:p>
    <w:p w14:paraId="349FB941" w14:textId="77777777" w:rsidR="00D57667" w:rsidRPr="00D57667" w:rsidRDefault="00D57667" w:rsidP="00D57667">
      <w:pPr>
        <w:pStyle w:val="Heading2"/>
        <w:rPr>
          <w:rFonts w:eastAsia="Times New Roman"/>
        </w:rPr>
      </w:pPr>
      <w:bookmarkStart w:id="9" w:name="_Toc181229314"/>
      <w:r w:rsidRPr="00D57667">
        <w:rPr>
          <w:rFonts w:eastAsia="Times New Roman"/>
        </w:rPr>
        <w:t>5.2 Technical Staff</w:t>
      </w:r>
      <w:bookmarkEnd w:id="9"/>
    </w:p>
    <w:p w14:paraId="6E92C3AF" w14:textId="77777777" w:rsidR="00D57667" w:rsidRPr="00D57667" w:rsidRDefault="00D57667" w:rsidP="00D57667">
      <w:pPr>
        <w:numPr>
          <w:ilvl w:val="0"/>
          <w:numId w:val="7"/>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Technical Support and Resource Preparation:</w:t>
      </w:r>
      <w:r w:rsidRPr="00D57667">
        <w:rPr>
          <w:rFonts w:eastAsia="Times New Roman" w:cstheme="minorHAnsi"/>
          <w:sz w:val="24"/>
          <w:szCs w:val="24"/>
        </w:rPr>
        <w:t xml:space="preserve"> Provide practical support, including lab setup, technical troubleshooting, and assistance with digital resources, to facilitate smooth and efficient course delivery.</w:t>
      </w:r>
    </w:p>
    <w:p w14:paraId="0F69FEF2" w14:textId="77777777" w:rsidR="00D57667" w:rsidRPr="00D57667" w:rsidRDefault="00D57667" w:rsidP="00D57667">
      <w:pPr>
        <w:numPr>
          <w:ilvl w:val="0"/>
          <w:numId w:val="7"/>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Collaboration with Teaching Staff:</w:t>
      </w:r>
      <w:r w:rsidRPr="00D57667">
        <w:rPr>
          <w:rFonts w:eastAsia="Times New Roman" w:cstheme="minorHAnsi"/>
          <w:sz w:val="24"/>
          <w:szCs w:val="24"/>
        </w:rPr>
        <w:t xml:space="preserve"> Work closely with teaching staff to ensure all resources, equipment, and technological tools are prepared and optimized for effective teaching.</w:t>
      </w:r>
    </w:p>
    <w:p w14:paraId="706652D1" w14:textId="77777777" w:rsidR="00D57667" w:rsidRPr="00D57667" w:rsidRDefault="00D57667" w:rsidP="00D57667">
      <w:pPr>
        <w:pStyle w:val="Heading2"/>
        <w:rPr>
          <w:rFonts w:eastAsia="Times New Roman"/>
        </w:rPr>
      </w:pPr>
      <w:bookmarkStart w:id="10" w:name="_Toc181229315"/>
      <w:r w:rsidRPr="00D57667">
        <w:rPr>
          <w:rFonts w:eastAsia="Times New Roman"/>
        </w:rPr>
        <w:t>5.3 Students</w:t>
      </w:r>
      <w:bookmarkEnd w:id="10"/>
    </w:p>
    <w:p w14:paraId="20841204" w14:textId="77777777" w:rsidR="00D57667" w:rsidRPr="00D57667" w:rsidRDefault="00D57667" w:rsidP="00D57667">
      <w:pPr>
        <w:numPr>
          <w:ilvl w:val="0"/>
          <w:numId w:val="8"/>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Active Participation in Learning:</w:t>
      </w:r>
      <w:r w:rsidRPr="00D57667">
        <w:rPr>
          <w:rFonts w:eastAsia="Times New Roman" w:cstheme="minorHAnsi"/>
          <w:sz w:val="24"/>
          <w:szCs w:val="24"/>
        </w:rPr>
        <w:t xml:space="preserve"> Actively participate in classes, assignments, and group projects, taking responsibility for personal learning and development.</w:t>
      </w:r>
    </w:p>
    <w:p w14:paraId="05B3E11F" w14:textId="77777777" w:rsidR="00D57667" w:rsidRPr="00D57667" w:rsidRDefault="00D57667" w:rsidP="00D57667">
      <w:pPr>
        <w:numPr>
          <w:ilvl w:val="0"/>
          <w:numId w:val="8"/>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Feedback Contribution:</w:t>
      </w:r>
      <w:r w:rsidRPr="00D57667">
        <w:rPr>
          <w:rFonts w:eastAsia="Times New Roman" w:cstheme="minorHAnsi"/>
          <w:sz w:val="24"/>
          <w:szCs w:val="24"/>
        </w:rPr>
        <w:t xml:space="preserve"> Provide constructive feedback on teaching and learning methods, contributing to continuous improvement efforts.</w:t>
      </w:r>
    </w:p>
    <w:p w14:paraId="60D0288B" w14:textId="77777777" w:rsidR="00D57667" w:rsidRPr="00D57667" w:rsidRDefault="00D57667" w:rsidP="00D57667">
      <w:pPr>
        <w:numPr>
          <w:ilvl w:val="0"/>
          <w:numId w:val="8"/>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Self-Assessment and Responsibility:</w:t>
      </w:r>
      <w:r w:rsidRPr="00D57667">
        <w:rPr>
          <w:rFonts w:eastAsia="Times New Roman" w:cstheme="minorHAnsi"/>
          <w:sz w:val="24"/>
          <w:szCs w:val="24"/>
        </w:rPr>
        <w:t xml:space="preserve"> Engage in self-assessment, set learning goals, and seek support proactively to enhance personal learning outcomes.</w:t>
      </w:r>
    </w:p>
    <w:p w14:paraId="2CB044DF" w14:textId="77777777" w:rsidR="00D57667" w:rsidRPr="00D57667" w:rsidRDefault="00D57667" w:rsidP="00D57667">
      <w:pPr>
        <w:pStyle w:val="Heading2"/>
        <w:rPr>
          <w:rFonts w:eastAsia="Times New Roman"/>
        </w:rPr>
      </w:pPr>
      <w:bookmarkStart w:id="11" w:name="_Toc181229316"/>
      <w:r w:rsidRPr="00D57667">
        <w:rPr>
          <w:rFonts w:eastAsia="Times New Roman"/>
        </w:rPr>
        <w:t>5.4 Departmental Management</w:t>
      </w:r>
      <w:bookmarkEnd w:id="11"/>
    </w:p>
    <w:p w14:paraId="014EF9D4" w14:textId="77777777" w:rsidR="00D57667" w:rsidRPr="00D57667" w:rsidRDefault="00D57667" w:rsidP="00D57667">
      <w:pPr>
        <w:numPr>
          <w:ilvl w:val="0"/>
          <w:numId w:val="9"/>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Oversight of Teaching Standards:</w:t>
      </w:r>
      <w:r w:rsidRPr="00D57667">
        <w:rPr>
          <w:rFonts w:eastAsia="Times New Roman" w:cstheme="minorHAnsi"/>
          <w:sz w:val="24"/>
          <w:szCs w:val="24"/>
        </w:rPr>
        <w:t xml:space="preserve"> Ensure teaching methods align with university standards and departmental goals and support innovation and inclusivity in learning practices.</w:t>
      </w:r>
    </w:p>
    <w:p w14:paraId="4DD2F32F" w14:textId="77777777" w:rsidR="00D57667" w:rsidRPr="00D57667" w:rsidRDefault="00D57667" w:rsidP="00D57667">
      <w:pPr>
        <w:numPr>
          <w:ilvl w:val="0"/>
          <w:numId w:val="9"/>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Support for Professional Development:</w:t>
      </w:r>
      <w:r w:rsidRPr="00D57667">
        <w:rPr>
          <w:rFonts w:eastAsia="Times New Roman" w:cstheme="minorHAnsi"/>
          <w:sz w:val="24"/>
          <w:szCs w:val="24"/>
        </w:rPr>
        <w:t xml:space="preserve"> Facilitate opportunities for teaching and technical staff to participate in professional development and skills enhancement.</w:t>
      </w:r>
    </w:p>
    <w:p w14:paraId="30C8429E" w14:textId="77777777" w:rsidR="00D57667" w:rsidRPr="00D57667" w:rsidRDefault="00D57667" w:rsidP="00D57667">
      <w:pPr>
        <w:numPr>
          <w:ilvl w:val="0"/>
          <w:numId w:val="9"/>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Curriculum Review and Improvement:</w:t>
      </w:r>
      <w:r w:rsidRPr="00D57667">
        <w:rPr>
          <w:rFonts w:eastAsia="Times New Roman" w:cstheme="minorHAnsi"/>
          <w:sz w:val="24"/>
          <w:szCs w:val="24"/>
        </w:rPr>
        <w:t xml:space="preserve"> Conduct regular reviews of curriculum and teaching practices based on feedback from students, staff, and other stakeholders, supporting necessary adjustments.</w:t>
      </w:r>
    </w:p>
    <w:p w14:paraId="0DB085F6" w14:textId="77777777" w:rsidR="00D57667" w:rsidRPr="00D57667" w:rsidRDefault="00D57667" w:rsidP="00D57667">
      <w:pPr>
        <w:pStyle w:val="Heading2"/>
        <w:rPr>
          <w:rFonts w:eastAsia="Times New Roman"/>
        </w:rPr>
      </w:pPr>
      <w:bookmarkStart w:id="12" w:name="_Toc181229317"/>
      <w:r w:rsidRPr="00D57667">
        <w:rPr>
          <w:rFonts w:eastAsia="Times New Roman"/>
        </w:rPr>
        <w:lastRenderedPageBreak/>
        <w:t>5.5 Faculty-Level Management</w:t>
      </w:r>
      <w:bookmarkEnd w:id="12"/>
    </w:p>
    <w:p w14:paraId="480FEAAF" w14:textId="77777777" w:rsidR="00D57667" w:rsidRPr="00D57667" w:rsidRDefault="00D57667" w:rsidP="00D57667">
      <w:pPr>
        <w:numPr>
          <w:ilvl w:val="0"/>
          <w:numId w:val="10"/>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Alignment of Teaching Standards:</w:t>
      </w:r>
      <w:r w:rsidRPr="00D57667">
        <w:rPr>
          <w:rFonts w:eastAsia="Times New Roman" w:cstheme="minorHAnsi"/>
          <w:sz w:val="24"/>
          <w:szCs w:val="24"/>
        </w:rPr>
        <w:t xml:space="preserve"> Ensure consistency in teaching practices across departments within the faculty, promoting a high-quality and cohesive learning experience.</w:t>
      </w:r>
    </w:p>
    <w:p w14:paraId="25AB1DE2" w14:textId="77777777" w:rsidR="00D57667" w:rsidRPr="00D57667" w:rsidRDefault="00D57667" w:rsidP="00D57667">
      <w:pPr>
        <w:numPr>
          <w:ilvl w:val="0"/>
          <w:numId w:val="10"/>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Resource Allocation:</w:t>
      </w:r>
      <w:r w:rsidRPr="00D57667">
        <w:rPr>
          <w:rFonts w:eastAsia="Times New Roman" w:cstheme="minorHAnsi"/>
          <w:sz w:val="24"/>
          <w:szCs w:val="24"/>
        </w:rPr>
        <w:t xml:space="preserve"> Allocate resources to support innovative teaching methods, professional development, and student support services, including tutoring and counseling.</w:t>
      </w:r>
    </w:p>
    <w:p w14:paraId="30A62691" w14:textId="77777777" w:rsidR="00D57667" w:rsidRPr="00D57667" w:rsidRDefault="00D57667" w:rsidP="00D57667">
      <w:pPr>
        <w:numPr>
          <w:ilvl w:val="0"/>
          <w:numId w:val="10"/>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Monitoring and Evaluation:</w:t>
      </w:r>
      <w:r w:rsidRPr="00D57667">
        <w:rPr>
          <w:rFonts w:eastAsia="Times New Roman" w:cstheme="minorHAnsi"/>
          <w:sz w:val="24"/>
          <w:szCs w:val="24"/>
        </w:rPr>
        <w:t xml:space="preserve"> Oversee the evaluation of teaching practices, student outcomes, and feedback, ensuring alignment with faculty and university goals.</w:t>
      </w:r>
    </w:p>
    <w:p w14:paraId="71225CBE" w14:textId="77777777" w:rsidR="00D57667" w:rsidRPr="00D57667" w:rsidRDefault="00D57667" w:rsidP="00D57667">
      <w:pPr>
        <w:pStyle w:val="Heading2"/>
        <w:rPr>
          <w:rFonts w:eastAsia="Times New Roman"/>
        </w:rPr>
      </w:pPr>
      <w:bookmarkStart w:id="13" w:name="_Toc181229318"/>
      <w:r w:rsidRPr="00D57667">
        <w:rPr>
          <w:rFonts w:eastAsia="Times New Roman"/>
        </w:rPr>
        <w:t>5.6 University-Level Management</w:t>
      </w:r>
      <w:bookmarkEnd w:id="13"/>
    </w:p>
    <w:p w14:paraId="4E4CDD95" w14:textId="77777777" w:rsidR="00D57667" w:rsidRPr="00D57667" w:rsidRDefault="00D57667" w:rsidP="00D57667">
      <w:pPr>
        <w:numPr>
          <w:ilvl w:val="0"/>
          <w:numId w:val="11"/>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Strategic Leadership and Policy Development:</w:t>
      </w:r>
      <w:r w:rsidRPr="00D57667">
        <w:rPr>
          <w:rFonts w:eastAsia="Times New Roman" w:cstheme="minorHAnsi"/>
          <w:sz w:val="24"/>
          <w:szCs w:val="24"/>
        </w:rPr>
        <w:t xml:space="preserve"> Provide strategic direction on teaching and learning policies, ensuring they align with the university’s mission, values, and long-term objectives.</w:t>
      </w:r>
    </w:p>
    <w:p w14:paraId="75DD8101" w14:textId="77777777" w:rsidR="00D57667" w:rsidRPr="00D57667" w:rsidRDefault="00D57667" w:rsidP="00D57667">
      <w:pPr>
        <w:numPr>
          <w:ilvl w:val="0"/>
          <w:numId w:val="11"/>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Provision of Resources and Support:</w:t>
      </w:r>
      <w:r w:rsidRPr="00D57667">
        <w:rPr>
          <w:rFonts w:eastAsia="Times New Roman" w:cstheme="minorHAnsi"/>
          <w:sz w:val="24"/>
          <w:szCs w:val="24"/>
        </w:rPr>
        <w:t xml:space="preserve"> Ensure adequate resources are available for faculty and departments to implement effective teaching practices and support staff and student needs.</w:t>
      </w:r>
    </w:p>
    <w:p w14:paraId="4DAB086F" w14:textId="77777777" w:rsidR="00D57667" w:rsidRPr="00D57667" w:rsidRDefault="00D57667" w:rsidP="00D57667">
      <w:pPr>
        <w:numPr>
          <w:ilvl w:val="0"/>
          <w:numId w:val="11"/>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Continuous Improvement Initiatives:</w:t>
      </w:r>
      <w:r w:rsidRPr="00D57667">
        <w:rPr>
          <w:rFonts w:eastAsia="Times New Roman" w:cstheme="minorHAnsi"/>
          <w:sz w:val="24"/>
          <w:szCs w:val="24"/>
        </w:rPr>
        <w:t xml:space="preserve"> Promote university-wide initiatives for teaching innovation, inclusivity, and quality assurance, benchmarking against best practices in higher education.</w:t>
      </w:r>
    </w:p>
    <w:p w14:paraId="356F7AF1" w14:textId="343AA111" w:rsidR="00D57667" w:rsidRPr="00D57667" w:rsidRDefault="00D57667" w:rsidP="00D57667">
      <w:pPr>
        <w:spacing w:after="0" w:line="240" w:lineRule="auto"/>
        <w:jc w:val="both"/>
        <w:rPr>
          <w:rFonts w:eastAsia="Times New Roman" w:cstheme="minorHAnsi"/>
          <w:sz w:val="24"/>
          <w:szCs w:val="24"/>
        </w:rPr>
      </w:pPr>
    </w:p>
    <w:p w14:paraId="10CC499E" w14:textId="77777777" w:rsidR="00D57667" w:rsidRPr="00D57667" w:rsidRDefault="00D57667" w:rsidP="00D57667">
      <w:pPr>
        <w:pStyle w:val="Heading1"/>
        <w:rPr>
          <w:rFonts w:eastAsia="Times New Roman"/>
        </w:rPr>
      </w:pPr>
      <w:bookmarkStart w:id="14" w:name="_Toc181229319"/>
      <w:r w:rsidRPr="00D57667">
        <w:rPr>
          <w:rFonts w:eastAsia="Times New Roman"/>
        </w:rPr>
        <w:t>6. Monitoring and Evaluation</w:t>
      </w:r>
      <w:bookmarkEnd w:id="14"/>
    </w:p>
    <w:p w14:paraId="0830F29E" w14:textId="77777777" w:rsidR="00D57667" w:rsidRPr="00D57667" w:rsidRDefault="00D57667" w:rsidP="00D57667">
      <w:pPr>
        <w:numPr>
          <w:ilvl w:val="0"/>
          <w:numId w:val="12"/>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Annual Review and Improvement Process:</w:t>
      </w:r>
      <w:r w:rsidRPr="00D57667">
        <w:rPr>
          <w:rFonts w:eastAsia="Times New Roman" w:cstheme="minorHAnsi"/>
          <w:sz w:val="24"/>
          <w:szCs w:val="24"/>
        </w:rPr>
        <w:t xml:space="preserve"> Conduct an annual review of teaching practices, curriculum, and student outcomes at the department, faculty, and university levels, incorporating feedback from all stakeholders.</w:t>
      </w:r>
    </w:p>
    <w:p w14:paraId="58D83E0F" w14:textId="77777777" w:rsidR="00D57667" w:rsidRPr="00D57667" w:rsidRDefault="00D57667" w:rsidP="00D57667">
      <w:pPr>
        <w:numPr>
          <w:ilvl w:val="0"/>
          <w:numId w:val="12"/>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Performance Metrics:</w:t>
      </w:r>
      <w:r w:rsidRPr="00D57667">
        <w:rPr>
          <w:rFonts w:eastAsia="Times New Roman" w:cstheme="minorHAnsi"/>
          <w:sz w:val="24"/>
          <w:szCs w:val="24"/>
        </w:rPr>
        <w:t xml:space="preserve"> Develop and utilize metrics, such as student satisfaction rates, learning outcome attainment, retention rates, and graduate success rates, to assess teaching effectiveness and identify areas for improvement.</w:t>
      </w:r>
    </w:p>
    <w:p w14:paraId="7AD1BB29" w14:textId="77777777" w:rsidR="00D57667" w:rsidRPr="00D57667" w:rsidRDefault="00D57667" w:rsidP="00D57667">
      <w:pPr>
        <w:numPr>
          <w:ilvl w:val="0"/>
          <w:numId w:val="12"/>
        </w:numPr>
        <w:spacing w:before="100" w:beforeAutospacing="1" w:after="100" w:afterAutospacing="1" w:line="240" w:lineRule="auto"/>
        <w:jc w:val="both"/>
        <w:rPr>
          <w:rFonts w:eastAsia="Times New Roman" w:cstheme="minorHAnsi"/>
          <w:sz w:val="24"/>
          <w:szCs w:val="24"/>
        </w:rPr>
      </w:pPr>
      <w:r w:rsidRPr="00D57667">
        <w:rPr>
          <w:rFonts w:eastAsia="Times New Roman" w:cstheme="minorHAnsi"/>
          <w:b/>
          <w:bCs/>
          <w:sz w:val="24"/>
          <w:szCs w:val="24"/>
        </w:rPr>
        <w:t>Benchmarking and Best Practices:</w:t>
      </w:r>
      <w:r w:rsidRPr="00D57667">
        <w:rPr>
          <w:rFonts w:eastAsia="Times New Roman" w:cstheme="minorHAnsi"/>
          <w:sz w:val="24"/>
          <w:szCs w:val="24"/>
        </w:rPr>
        <w:t xml:space="preserve"> Benchmark teaching methods and policies against peer institutions and best practices to ensure alignment with industry standards and advancements in pedagogy.</w:t>
      </w:r>
    </w:p>
    <w:p w14:paraId="5B05FB72" w14:textId="4841C651" w:rsidR="00D57667" w:rsidRPr="00D57667" w:rsidRDefault="00D57667" w:rsidP="00D57667">
      <w:pPr>
        <w:spacing w:after="0" w:line="240" w:lineRule="auto"/>
        <w:jc w:val="both"/>
        <w:rPr>
          <w:rFonts w:eastAsia="Times New Roman" w:cstheme="minorHAnsi"/>
          <w:sz w:val="24"/>
          <w:szCs w:val="24"/>
        </w:rPr>
      </w:pPr>
    </w:p>
    <w:p w14:paraId="0F8C1F75" w14:textId="77777777" w:rsidR="00D57667" w:rsidRPr="00D57667" w:rsidRDefault="00D57667" w:rsidP="00B420D4">
      <w:pPr>
        <w:pStyle w:val="Heading1"/>
        <w:rPr>
          <w:rFonts w:eastAsia="Times New Roman"/>
        </w:rPr>
      </w:pPr>
      <w:bookmarkStart w:id="15" w:name="_Toc181229320"/>
      <w:r w:rsidRPr="00D57667">
        <w:rPr>
          <w:rFonts w:eastAsia="Times New Roman"/>
        </w:rPr>
        <w:t>7. Policy Review</w:t>
      </w:r>
      <w:bookmarkEnd w:id="15"/>
    </w:p>
    <w:p w14:paraId="0D9F7338" w14:textId="3FBDF88E" w:rsidR="00D57667" w:rsidRPr="00D57667" w:rsidRDefault="00D57667" w:rsidP="00D57667">
      <w:pPr>
        <w:spacing w:before="100" w:beforeAutospacing="1" w:after="100" w:afterAutospacing="1" w:line="240" w:lineRule="auto"/>
        <w:jc w:val="both"/>
        <w:rPr>
          <w:rFonts w:eastAsia="Times New Roman" w:cstheme="minorHAnsi"/>
          <w:sz w:val="24"/>
          <w:szCs w:val="24"/>
        </w:rPr>
      </w:pPr>
      <w:r w:rsidRPr="00D57667">
        <w:rPr>
          <w:rFonts w:eastAsia="Times New Roman" w:cstheme="minorHAnsi"/>
          <w:sz w:val="24"/>
          <w:szCs w:val="24"/>
        </w:rPr>
        <w:t xml:space="preserve">This policy will be reviewed every </w:t>
      </w:r>
      <w:r>
        <w:rPr>
          <w:rFonts w:eastAsia="Times New Roman" w:cstheme="minorHAnsi"/>
          <w:sz w:val="24"/>
          <w:szCs w:val="24"/>
        </w:rPr>
        <w:t>four</w:t>
      </w:r>
      <w:r w:rsidRPr="00D57667">
        <w:rPr>
          <w:rFonts w:eastAsia="Times New Roman" w:cstheme="minorHAnsi"/>
          <w:sz w:val="24"/>
          <w:szCs w:val="24"/>
        </w:rPr>
        <w:t xml:space="preserve"> years to ensure it remains aligned with current educational standards, technological advancements, and institutional goals.</w:t>
      </w:r>
    </w:p>
    <w:p w14:paraId="3913E929" w14:textId="1E61F3A9" w:rsidR="00D57667" w:rsidRPr="00D57667" w:rsidRDefault="00D57667" w:rsidP="00D57667">
      <w:pPr>
        <w:spacing w:after="0" w:line="240" w:lineRule="auto"/>
        <w:jc w:val="both"/>
        <w:rPr>
          <w:rFonts w:eastAsia="Times New Roman" w:cstheme="minorHAnsi"/>
          <w:sz w:val="24"/>
          <w:szCs w:val="24"/>
        </w:rPr>
      </w:pPr>
    </w:p>
    <w:p w14:paraId="2A8F1787" w14:textId="77777777" w:rsidR="00EF5C56" w:rsidRPr="00D57667" w:rsidRDefault="00EF5C56" w:rsidP="00D57667">
      <w:pPr>
        <w:jc w:val="both"/>
        <w:rPr>
          <w:rFonts w:cstheme="minorHAnsi"/>
          <w:sz w:val="24"/>
          <w:szCs w:val="24"/>
        </w:rPr>
      </w:pPr>
    </w:p>
    <w:sectPr w:rsidR="00EF5C56" w:rsidRPr="00D57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4402"/>
    <w:multiLevelType w:val="multilevel"/>
    <w:tmpl w:val="6080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976A8"/>
    <w:multiLevelType w:val="multilevel"/>
    <w:tmpl w:val="B120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025D"/>
    <w:multiLevelType w:val="multilevel"/>
    <w:tmpl w:val="A950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72EB1"/>
    <w:multiLevelType w:val="multilevel"/>
    <w:tmpl w:val="F590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E0DE2"/>
    <w:multiLevelType w:val="multilevel"/>
    <w:tmpl w:val="8A8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40587"/>
    <w:multiLevelType w:val="multilevel"/>
    <w:tmpl w:val="6856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D2386"/>
    <w:multiLevelType w:val="multilevel"/>
    <w:tmpl w:val="088E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26D56"/>
    <w:multiLevelType w:val="multilevel"/>
    <w:tmpl w:val="72F0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E6E45"/>
    <w:multiLevelType w:val="multilevel"/>
    <w:tmpl w:val="459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4359A1"/>
    <w:multiLevelType w:val="multilevel"/>
    <w:tmpl w:val="5DF8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5C5A61"/>
    <w:multiLevelType w:val="multilevel"/>
    <w:tmpl w:val="F948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86829"/>
    <w:multiLevelType w:val="multilevel"/>
    <w:tmpl w:val="78EC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150283">
    <w:abstractNumId w:val="4"/>
  </w:num>
  <w:num w:numId="2" w16cid:durableId="1160733867">
    <w:abstractNumId w:val="11"/>
  </w:num>
  <w:num w:numId="3" w16cid:durableId="762802097">
    <w:abstractNumId w:val="0"/>
  </w:num>
  <w:num w:numId="4" w16cid:durableId="1825703375">
    <w:abstractNumId w:val="2"/>
  </w:num>
  <w:num w:numId="5" w16cid:durableId="50540878">
    <w:abstractNumId w:val="3"/>
  </w:num>
  <w:num w:numId="6" w16cid:durableId="1206913942">
    <w:abstractNumId w:val="10"/>
  </w:num>
  <w:num w:numId="7" w16cid:durableId="480004375">
    <w:abstractNumId w:val="5"/>
  </w:num>
  <w:num w:numId="8" w16cid:durableId="2127431020">
    <w:abstractNumId w:val="1"/>
  </w:num>
  <w:num w:numId="9" w16cid:durableId="367612650">
    <w:abstractNumId w:val="9"/>
  </w:num>
  <w:num w:numId="10" w16cid:durableId="536628193">
    <w:abstractNumId w:val="7"/>
  </w:num>
  <w:num w:numId="11" w16cid:durableId="1523319374">
    <w:abstractNumId w:val="6"/>
  </w:num>
  <w:num w:numId="12" w16cid:durableId="1021928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67"/>
    <w:rsid w:val="000D7AC4"/>
    <w:rsid w:val="000E0F9D"/>
    <w:rsid w:val="00232AD0"/>
    <w:rsid w:val="003D2FDF"/>
    <w:rsid w:val="004861DC"/>
    <w:rsid w:val="005F21F6"/>
    <w:rsid w:val="006C10B0"/>
    <w:rsid w:val="00A20AC1"/>
    <w:rsid w:val="00B420D4"/>
    <w:rsid w:val="00B54EC2"/>
    <w:rsid w:val="00BB1F1A"/>
    <w:rsid w:val="00C568DC"/>
    <w:rsid w:val="00D14F70"/>
    <w:rsid w:val="00D57667"/>
    <w:rsid w:val="00E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A37D"/>
  <w15:chartTrackingRefBased/>
  <w15:docId w15:val="{26843363-0181-45FA-B196-AD36A704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76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576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76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76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7667"/>
    <w:rPr>
      <w:rFonts w:ascii="Times New Roman" w:eastAsia="Times New Roman" w:hAnsi="Times New Roman" w:cs="Times New Roman"/>
      <w:b/>
      <w:bCs/>
      <w:sz w:val="24"/>
      <w:szCs w:val="24"/>
    </w:rPr>
  </w:style>
  <w:style w:type="character" w:styleId="Strong">
    <w:name w:val="Strong"/>
    <w:basedOn w:val="DefaultParagraphFont"/>
    <w:uiPriority w:val="22"/>
    <w:qFormat/>
    <w:rsid w:val="00D57667"/>
    <w:rPr>
      <w:b/>
      <w:bCs/>
    </w:rPr>
  </w:style>
  <w:style w:type="paragraph" w:styleId="NormalWeb">
    <w:name w:val="Normal (Web)"/>
    <w:basedOn w:val="Normal"/>
    <w:uiPriority w:val="99"/>
    <w:semiHidden/>
    <w:unhideWhenUsed/>
    <w:rsid w:val="00D57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76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766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autoRedefine/>
    <w:uiPriority w:val="1"/>
    <w:qFormat/>
    <w:rsid w:val="00B420D4"/>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B420D4"/>
    <w:rPr>
      <w:rFonts w:cstheme="minorHAnsi"/>
      <w:b/>
      <w:sz w:val="48"/>
      <w:szCs w:val="48"/>
    </w:rPr>
  </w:style>
  <w:style w:type="paragraph" w:customStyle="1" w:styleId="TableParagraph">
    <w:name w:val="Table Paragraph"/>
    <w:basedOn w:val="Normal"/>
    <w:uiPriority w:val="1"/>
    <w:qFormat/>
    <w:rsid w:val="00B420D4"/>
    <w:pPr>
      <w:widowControl w:val="0"/>
      <w:autoSpaceDE w:val="0"/>
      <w:autoSpaceDN w:val="0"/>
      <w:spacing w:after="0" w:line="240" w:lineRule="auto"/>
      <w:contextualSpacing/>
      <w:jc w:val="both"/>
    </w:pPr>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B420D4"/>
    <w:pPr>
      <w:outlineLvl w:val="9"/>
    </w:pPr>
  </w:style>
  <w:style w:type="paragraph" w:styleId="TOC2">
    <w:name w:val="toc 2"/>
    <w:basedOn w:val="Normal"/>
    <w:next w:val="Normal"/>
    <w:autoRedefine/>
    <w:uiPriority w:val="39"/>
    <w:unhideWhenUsed/>
    <w:rsid w:val="00B420D4"/>
    <w:pPr>
      <w:spacing w:after="100"/>
      <w:ind w:left="220"/>
    </w:pPr>
    <w:rPr>
      <w:rFonts w:eastAsiaTheme="minorEastAsia" w:cs="Times New Roman"/>
    </w:rPr>
  </w:style>
  <w:style w:type="paragraph" w:styleId="TOC1">
    <w:name w:val="toc 1"/>
    <w:basedOn w:val="Normal"/>
    <w:next w:val="Normal"/>
    <w:autoRedefine/>
    <w:uiPriority w:val="39"/>
    <w:unhideWhenUsed/>
    <w:rsid w:val="00B420D4"/>
    <w:pPr>
      <w:spacing w:after="100"/>
    </w:pPr>
    <w:rPr>
      <w:rFonts w:eastAsiaTheme="minorEastAsia" w:cs="Times New Roman"/>
    </w:rPr>
  </w:style>
  <w:style w:type="paragraph" w:styleId="TOC3">
    <w:name w:val="toc 3"/>
    <w:basedOn w:val="Normal"/>
    <w:next w:val="Normal"/>
    <w:autoRedefine/>
    <w:uiPriority w:val="39"/>
    <w:unhideWhenUsed/>
    <w:rsid w:val="00B420D4"/>
    <w:pPr>
      <w:spacing w:after="100"/>
      <w:ind w:left="440"/>
    </w:pPr>
    <w:rPr>
      <w:rFonts w:eastAsiaTheme="minorEastAsia" w:cs="Times New Roman"/>
    </w:rPr>
  </w:style>
  <w:style w:type="character" w:styleId="Hyperlink">
    <w:name w:val="Hyperlink"/>
    <w:basedOn w:val="DefaultParagraphFont"/>
    <w:uiPriority w:val="99"/>
    <w:unhideWhenUsed/>
    <w:rsid w:val="00B42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3A6AC77-8BEC-4618-B460-D5677296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2</cp:revision>
  <dcterms:created xsi:type="dcterms:W3CDTF">2024-10-30T23:50:00Z</dcterms:created>
  <dcterms:modified xsi:type="dcterms:W3CDTF">2024-10-31T09:13:00Z</dcterms:modified>
</cp:coreProperties>
</file>